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11" w:rsidRPr="000F0B82" w:rsidRDefault="00625B11">
      <w:pPr>
        <w:pStyle w:val="Corpodetexto"/>
        <w:spacing w:after="0" w:line="240" w:lineRule="auto"/>
        <w:jc w:val="center"/>
        <w:rPr>
          <w:b/>
          <w:bCs/>
          <w:u w:val="single"/>
        </w:rPr>
      </w:pPr>
    </w:p>
    <w:p w:rsidR="00625B11" w:rsidRPr="000F0B82" w:rsidRDefault="000F0B82">
      <w:pPr>
        <w:jc w:val="center"/>
      </w:pPr>
      <w:r w:rsidRPr="000F0B82">
        <w:rPr>
          <w:b/>
          <w:u w:val="single"/>
        </w:rPr>
        <w:t>ORDEM DE SERVIÇO Nº 02/2020</w:t>
      </w:r>
    </w:p>
    <w:p w:rsidR="00625B11" w:rsidRPr="000F0B82" w:rsidRDefault="00625B11"/>
    <w:p w:rsidR="00625B11" w:rsidRPr="000F0B82" w:rsidRDefault="00276D67">
      <w:pPr>
        <w:spacing w:before="240"/>
        <w:ind w:firstLine="1417"/>
        <w:jc w:val="both"/>
      </w:pPr>
      <w:r w:rsidRPr="000F0B82">
        <w:t xml:space="preserve">A SECRETARIA MUNICIPAL DE SAÚDE DE NOVO HAMBURGO, no uso de suas atribuições que lhe </w:t>
      </w:r>
      <w:proofErr w:type="gramStart"/>
      <w:r w:rsidRPr="000F0B82">
        <w:t>conf</w:t>
      </w:r>
      <w:bookmarkStart w:id="0" w:name="_GoBack"/>
      <w:bookmarkEnd w:id="0"/>
      <w:r w:rsidRPr="000F0B82">
        <w:t>ere,</w:t>
      </w:r>
      <w:proofErr w:type="gramEnd"/>
      <w:r w:rsidRPr="000F0B82">
        <w:t xml:space="preserve"> diante da PANDEMIA DO NOVO</w:t>
      </w:r>
      <w:r w:rsidR="00E61F14">
        <w:t xml:space="preserve"> CORONAVÍRUS – COVID 19,</w:t>
      </w:r>
    </w:p>
    <w:p w:rsidR="00625B11" w:rsidRPr="000F0B82" w:rsidRDefault="00276D67">
      <w:pPr>
        <w:spacing w:before="240"/>
        <w:ind w:firstLine="1417"/>
        <w:jc w:val="both"/>
      </w:pPr>
      <w:r w:rsidRPr="000F0B82">
        <w:t>Considerando a necessidade de tomarmos medidas de contingenciamento das atividades realizadas em nossas UBS/USF e serviços da Rede de Atenção Psicossocial;</w:t>
      </w:r>
    </w:p>
    <w:p w:rsidR="00625B11" w:rsidRPr="000F0B82" w:rsidRDefault="00276D67">
      <w:pPr>
        <w:spacing w:before="240"/>
        <w:ind w:firstLine="1417"/>
        <w:jc w:val="both"/>
      </w:pPr>
      <w:r w:rsidRPr="000F0B82">
        <w:t>Considerando a necessidade de garantirmos uma assistência a saúde para a população com mais segurança e qualidade, a fim de diminuirmos a propagação do COVID-19;</w:t>
      </w:r>
    </w:p>
    <w:p w:rsidR="00625B11" w:rsidRPr="000F0B82" w:rsidRDefault="00276D67">
      <w:pPr>
        <w:spacing w:before="240"/>
        <w:ind w:firstLine="1417"/>
        <w:jc w:val="both"/>
      </w:pPr>
      <w:r w:rsidRPr="000F0B82">
        <w:t>Considerando a importância de zelarmos pela saúde dos nossos profissionais e da nossa população no enfrentamento desta pandemia, diminuindo o máximo possível o número de pessoas circulando nos ambientes de saúde e os impactos que a mesma possa vir a causar;</w:t>
      </w:r>
    </w:p>
    <w:p w:rsidR="00625B11" w:rsidRPr="000F0B82" w:rsidRDefault="00276D67">
      <w:pPr>
        <w:spacing w:before="240"/>
        <w:ind w:firstLine="1417"/>
        <w:jc w:val="both"/>
        <w:rPr>
          <w:highlight w:val="white"/>
        </w:rPr>
      </w:pPr>
      <w:r w:rsidRPr="000F0B82">
        <w:rPr>
          <w:highlight w:val="white"/>
        </w:rPr>
        <w:t>Considerando que a ordem de serviço pode ter caráter provisório, tendo em vista a dinâmica da pandemia, adotaremos medidas urgentes, especiais e até extraordinárias para enfrentamento dessa situação, estas orientações foram realizadas pelo comitê técnico e podem sofrer alterações durante percurso;</w:t>
      </w:r>
    </w:p>
    <w:p w:rsidR="00625B11" w:rsidRPr="00E61F14" w:rsidRDefault="00E61F14" w:rsidP="00E61F14">
      <w:pPr>
        <w:spacing w:before="240"/>
        <w:ind w:left="708" w:firstLine="708"/>
        <w:jc w:val="both"/>
        <w:rPr>
          <w:b/>
        </w:rPr>
      </w:pPr>
      <w:r w:rsidRPr="00E61F14">
        <w:rPr>
          <w:b/>
        </w:rPr>
        <w:t>ORIENTA:</w:t>
      </w:r>
    </w:p>
    <w:p w:rsidR="00625B11" w:rsidRPr="000F0B82" w:rsidRDefault="00276D67">
      <w:pPr>
        <w:spacing w:before="240"/>
        <w:jc w:val="both"/>
      </w:pPr>
      <w:r w:rsidRPr="000F0B82">
        <w:t>Ambiente: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I.</w:t>
      </w:r>
      <w:r w:rsidRPr="000F0B82">
        <w:t xml:space="preserve"> Manter o ambiente dos serviços de saúde ventilado, com janela e portas abertas, com ar-condicionado ou ventilador desligado, sempre que possível;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II.</w:t>
      </w:r>
      <w:r w:rsidRPr="000F0B82">
        <w:t xml:space="preserve"> Cumprir com rigor os protocolos de esterilização, desinfecção e limpeza dos ambientes, instrumentos e equipamentos utilizados pelas equipes de saúde;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III.</w:t>
      </w:r>
      <w:r w:rsidRPr="000F0B82">
        <w:t xml:space="preserve"> Proibir o uso de adornos nas Unidades de Saúde, conforme NR32;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IV.</w:t>
      </w:r>
      <w:r w:rsidRPr="000F0B82">
        <w:t xml:space="preserve"> Evitar aglomerações e a circulação na sala de espera, e se possível orientar que o usuário aguarde atendimento em lugar externo, conforme fluxo de atendimento aos casos suspeitos de COVID-19;</w:t>
      </w:r>
    </w:p>
    <w:p w:rsidR="00625B11" w:rsidRPr="000F0B82" w:rsidRDefault="00276D67">
      <w:pPr>
        <w:spacing w:before="240"/>
        <w:jc w:val="both"/>
      </w:pPr>
      <w:r w:rsidRPr="000F0B82">
        <w:t>Atendimentos: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V.</w:t>
      </w:r>
      <w:r w:rsidRPr="000F0B82">
        <w:t xml:space="preserve"> Garantir a oferta de consultas com médicos, enfermeiros e demais profissionais da saúde para atendimentos às demandas espontâneas/manutenção de tratamentos. O objetivo é atender os usuários com resolutividade, no menor tempo de espera possível, evitando a aglomeração de usuários e acompanhantes;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VI.</w:t>
      </w:r>
      <w:r w:rsidRPr="000F0B82">
        <w:t xml:space="preserve"> Para atendimento de Puericultura </w:t>
      </w:r>
    </w:p>
    <w:p w:rsidR="00625B11" w:rsidRPr="000F0B82" w:rsidRDefault="00276D67">
      <w:pPr>
        <w:numPr>
          <w:ilvl w:val="0"/>
          <w:numId w:val="1"/>
        </w:numPr>
        <w:spacing w:before="240"/>
        <w:jc w:val="both"/>
      </w:pPr>
      <w:r w:rsidRPr="000F0B82">
        <w:t>Suspender atendimentos eletivos nas Unidades de Saúde, avaliar a necessidade dos atendimentos a pacientes de alto risco/vulnerabilidade, organizando agendas com maior espaçamento entre as consultas.</w:t>
      </w:r>
    </w:p>
    <w:p w:rsidR="00625B11" w:rsidRPr="000F0B82" w:rsidRDefault="00276D67">
      <w:pPr>
        <w:numPr>
          <w:ilvl w:val="0"/>
          <w:numId w:val="1"/>
        </w:numPr>
        <w:jc w:val="both"/>
      </w:pPr>
      <w:r w:rsidRPr="000F0B82">
        <w:t xml:space="preserve">Os serviços deverão disponibilizar um número de telefone onde profissionais da área </w:t>
      </w:r>
      <w:r w:rsidRPr="000F0B82">
        <w:lastRenderedPageBreak/>
        <w:t>poderão orientar os pais, diante de dúvidas, é bom tranquilizar tanto familiares quanto pacientes, evitando assim deslocamentos desnecessários.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VII.</w:t>
      </w:r>
      <w:r w:rsidRPr="000F0B82">
        <w:t xml:space="preserve"> Agendamento para idosos deverão impreterivelmente ser realizadas por telefone através de horários em tempo integral durante o funcionamento da unidade;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VIII.</w:t>
      </w:r>
      <w:r w:rsidRPr="000F0B82">
        <w:t xml:space="preserve"> Suspender a realização de grupos e atividades coletivas, a exemplo Práticas Integrativas e Complementares, Grupos </w:t>
      </w:r>
      <w:proofErr w:type="spellStart"/>
      <w:r w:rsidRPr="000F0B82">
        <w:t>Hiper</w:t>
      </w:r>
      <w:proofErr w:type="spellEnd"/>
      <w:r w:rsidRPr="000F0B82">
        <w:t xml:space="preserve"> Dia, Gestantes, Adolescentes, grupo e oficinas de Saúde Mental entre outros, priorizando atendimentos individuais, caso necessário;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IX.</w:t>
      </w:r>
      <w:r w:rsidRPr="000F0B82">
        <w:t xml:space="preserve"> Suspender os atendimentos odontológicos eletivos (agendados por demanda espontânea) sem necessidade de intervenção imediata, mantendo os atendimentos odontológicos de urgência e emergência.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 xml:space="preserve">X. </w:t>
      </w:r>
      <w:r w:rsidRPr="000F0B82">
        <w:t xml:space="preserve">Suspender agendamentos eletivos de </w:t>
      </w:r>
      <w:proofErr w:type="spellStart"/>
      <w:r w:rsidRPr="000F0B82">
        <w:t>CPs</w:t>
      </w:r>
      <w:proofErr w:type="spellEnd"/>
      <w:r w:rsidRPr="000F0B82">
        <w:t>, priorizando os casos que requeiram avaliações e coleta do mesmo diante do quadro;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XI.</w:t>
      </w:r>
      <w:r w:rsidRPr="000F0B82">
        <w:t xml:space="preserve"> Agentes Comunitários de Saúde, priorizar as visitas domiciliares para idosos, gestantes, recém-nascidos, crianças de risco, acamados e pessoas com deficiência, mantendo os cuidados essenciais para evitar a contaminação pelo COVID-19;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 xml:space="preserve">XII. </w:t>
      </w:r>
      <w:r w:rsidRPr="000F0B82">
        <w:t>Seguir com os testes rápidos HIV, Hepatite B, Hepatite C e Sífilis conforme a demanda espontânea surgir;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XIII.</w:t>
      </w:r>
      <w:r w:rsidRPr="000F0B82">
        <w:t xml:space="preserve"> Manter sala de vacina em funcionamento;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XIV.</w:t>
      </w:r>
      <w:r w:rsidRPr="000F0B82">
        <w:t xml:space="preserve"> Seguir com curativos especiais, que </w:t>
      </w:r>
      <w:proofErr w:type="gramStart"/>
      <w:r w:rsidRPr="000F0B82">
        <w:t>requeiram material</w:t>
      </w:r>
      <w:proofErr w:type="gramEnd"/>
      <w:r w:rsidRPr="000F0B82">
        <w:t xml:space="preserve"> e técnica específica para tal;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XV.</w:t>
      </w:r>
      <w:r w:rsidRPr="000F0B82">
        <w:t xml:space="preserve"> As agendas de RX foram suspensas, as unidades de saúde só poderão solicitar RX se for urgência, encaminhando o usuário para o hospital para realizar a mesma;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XVI.</w:t>
      </w:r>
      <w:r w:rsidRPr="000F0B82">
        <w:t xml:space="preserve"> Acompanhantes dos pacientes: Serão permitidos acompanhantes somente para pacientes menores de 18 anos, maiores de 60 anos e para pacientes com deficiência, devido a maior vulnerabilidade.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 xml:space="preserve">XVII. </w:t>
      </w:r>
      <w:r w:rsidRPr="000F0B82">
        <w:t xml:space="preserve">Evitar as reuniões </w:t>
      </w:r>
      <w:proofErr w:type="spellStart"/>
      <w:r w:rsidRPr="000F0B82">
        <w:t>inter</w:t>
      </w:r>
      <w:proofErr w:type="spellEnd"/>
      <w:r w:rsidRPr="000F0B82">
        <w:t xml:space="preserve"> e </w:t>
      </w:r>
      <w:proofErr w:type="spellStart"/>
      <w:r w:rsidRPr="000F0B82">
        <w:t>intrasetoriais</w:t>
      </w:r>
      <w:proofErr w:type="spellEnd"/>
      <w:r w:rsidRPr="000F0B82">
        <w:t>, dando preferência a discussões por telefone;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XVIII.</w:t>
      </w:r>
      <w:r w:rsidRPr="000F0B82">
        <w:t xml:space="preserve"> Planejamento Familiar: </w:t>
      </w:r>
      <w:proofErr w:type="gramStart"/>
      <w:r w:rsidRPr="000F0B82">
        <w:t>Será</w:t>
      </w:r>
      <w:proofErr w:type="gramEnd"/>
      <w:r w:rsidRPr="000F0B82">
        <w:t xml:space="preserve"> fechado as agendas para encaminhamentos de LT (Ligamento Tubário) e Vasectomia, pois estão suspensos os procedimentos eletivos por tempo indeterminado, demais métodos contraceptivos mantém conforme rotina;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 xml:space="preserve">XIX. </w:t>
      </w:r>
      <w:r w:rsidRPr="000F0B82">
        <w:t>Orientações específicas para as gestantes (conforme NT01/2020 do DAS/SES/RS – seção de saúde da mulher):</w:t>
      </w:r>
    </w:p>
    <w:p w:rsidR="00625B11" w:rsidRPr="000F0B82" w:rsidRDefault="00625B11">
      <w:pPr>
        <w:spacing w:before="240"/>
        <w:jc w:val="both"/>
      </w:pPr>
    </w:p>
    <w:p w:rsidR="00625B11" w:rsidRPr="000F0B82" w:rsidRDefault="00276D67">
      <w:pPr>
        <w:numPr>
          <w:ilvl w:val="0"/>
          <w:numId w:val="2"/>
        </w:numPr>
        <w:spacing w:before="240"/>
        <w:jc w:val="both"/>
      </w:pPr>
      <w:r w:rsidRPr="000F0B82">
        <w:rPr>
          <w:rFonts w:eastAsia="Arial"/>
        </w:rPr>
        <w:t xml:space="preserve"> </w:t>
      </w:r>
      <w:r w:rsidRPr="000F0B82">
        <w:t xml:space="preserve">Seguir as consultas de pré-natal de RISCO HABITUAL </w:t>
      </w:r>
      <w:proofErr w:type="gramStart"/>
      <w:r w:rsidRPr="000F0B82">
        <w:t>podem ser</w:t>
      </w:r>
      <w:proofErr w:type="gramEnd"/>
      <w:r w:rsidRPr="000F0B82">
        <w:t xml:space="preserve"> adiadas mediante a avaliação de caso a caso.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A solicitação de exames complementares também pode ser postergada conforme avaliação individual.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Não devem ser canceladas consultas e exames sem avaliação. Lembrando que o desfecho obstétrico não pode ser adiado.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 xml:space="preserve">Os serviços deverão disponibilizar um número de telefone onde profissionais da área poderão orientar as gestantes diante de dúvidas, evitando deslocamentos </w:t>
      </w:r>
      <w:r w:rsidRPr="000F0B82">
        <w:lastRenderedPageBreak/>
        <w:t>desnecessários.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Orientações sobre o intervalo de consultas devem ser avaliadas e informadas individualmente. (Priorizar atendimentos de hora/hora).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Gestante de Alto Risco: Serviços que atendem pré-natal de ALTO RISCO, Ambulatórios de Gestante de Alto Risco (AGAR) e Especializados devem manter o atendimento às gestantes, avaliar as condições de cada caso para orientação à distância ou em consulta presencial. Pode ser orientado o adiantamento da consulta, assim como, o aumento do intervalo entre elas mediante avaliação individual;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 xml:space="preserve">O serviço deve intensificar sua função de </w:t>
      </w:r>
      <w:proofErr w:type="spellStart"/>
      <w:r w:rsidRPr="000F0B82">
        <w:t>matriciador</w:t>
      </w:r>
      <w:proofErr w:type="spellEnd"/>
      <w:r w:rsidRPr="000F0B82">
        <w:t xml:space="preserve"> da rede de serviços de risco habitual. Para manutenção de atendimento, medidas de higiene e proteção, conforme orientações do Ministério da Saúde. Além disso, deve orientar as melhores práticas de atenção à gestante diante da pandemia.</w:t>
      </w:r>
    </w:p>
    <w:p w:rsidR="00625B11" w:rsidRPr="000F0B82" w:rsidRDefault="00276D67">
      <w:pPr>
        <w:numPr>
          <w:ilvl w:val="0"/>
          <w:numId w:val="2"/>
        </w:numPr>
        <w:jc w:val="both"/>
      </w:pPr>
      <w:proofErr w:type="gramStart"/>
      <w:r w:rsidRPr="000F0B82">
        <w:t>É</w:t>
      </w:r>
      <w:proofErr w:type="gramEnd"/>
      <w:r w:rsidRPr="000F0B82">
        <w:t xml:space="preserve"> necessário cuidado intenso no transporte das gestantes, estas não devem permanecer junto a pacientes sintomáticos. Os veículos precisam ser ventilados e higienizados periodicamente a cada troca de passageiros.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 xml:space="preserve">Novas marcações não devem ser </w:t>
      </w:r>
      <w:r w:rsidR="00E61F14" w:rsidRPr="000F0B82">
        <w:t>canceladas</w:t>
      </w:r>
      <w:r w:rsidRPr="000F0B82">
        <w:t xml:space="preserve">, mas é preciso avaliar de forma criteriosa se a mesma pode, ou não, </w:t>
      </w:r>
      <w:proofErr w:type="gramStart"/>
      <w:r w:rsidRPr="000F0B82">
        <w:t>ser</w:t>
      </w:r>
      <w:proofErr w:type="gramEnd"/>
      <w:r w:rsidRPr="000F0B82">
        <w:t xml:space="preserve"> adiada.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O intervalo entre as consultas deve ser organizado para impedir o encontro entre as pacientes, evitando aglomerações no serviço.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Os serviços deverão disponibilizar um número de telefone onde profissionais da área poderão orientar as gestantes diante de dúvidas, evitando deslocamentos desnecessários.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Considerações especiais para gestantes suspeitas As gestantes com suspeita ou confirmação de COVID-19 devem ser tratadas com terapias de suporte levando em consideração as adaptações fisiológicas da gravidez.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O uso de agentes terapêuticos em investigação fora de um estudo de pesquisa deve ser guiado por uma análise de risco benefício individual baseada no benefício potencial para a mãe e a segurança do feto, com consulta de um especialista em obstetrícia e comitê de ética.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As decisões sobre o parto de emergência e a interrupção da gravidez são desafiadoras e baseadas em muitos fatores: idade gestacional, condição materna e estabilidade fetal. As consultas com especialistas em obstetrícia, neonatal e terapia intensiva (dependendo da condição da mãe) são essenciais.</w:t>
      </w:r>
    </w:p>
    <w:p w:rsidR="00625B11" w:rsidRPr="000F0B82" w:rsidRDefault="00276D67">
      <w:pPr>
        <w:numPr>
          <w:ilvl w:val="0"/>
          <w:numId w:val="2"/>
        </w:numPr>
        <w:jc w:val="both"/>
      </w:pPr>
      <w:r w:rsidRPr="000F0B82">
        <w:t>No caso de gestante sintomática a orientação é seguir o FLUXO DE ATENDIMENTO AOS CASOS SUSPEITOS DO NOVO CORONAVÍRUS (COVID-19)</w:t>
      </w:r>
    </w:p>
    <w:p w:rsidR="00625B11" w:rsidRPr="000F0B82" w:rsidRDefault="00276D67">
      <w:pPr>
        <w:spacing w:before="240"/>
        <w:jc w:val="both"/>
      </w:pPr>
      <w:r w:rsidRPr="000F0B82">
        <w:t>Orientações específicas para os serviços da Saúde Mental: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I.</w:t>
      </w:r>
      <w:r w:rsidRPr="000F0B82">
        <w:t xml:space="preserve"> O Plano Terapêutico Singular dos casos em acompanhamento pelos serviços da saúde mental, dentro do possível, deve ser redefinido quanto </w:t>
      </w:r>
      <w:proofErr w:type="gramStart"/>
      <w:r w:rsidRPr="000F0B82">
        <w:t>a</w:t>
      </w:r>
      <w:proofErr w:type="gramEnd"/>
      <w:r w:rsidRPr="000F0B82">
        <w:t xml:space="preserve"> frequência dos atendimentos e o tempo de permanência no serviço.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II.</w:t>
      </w:r>
      <w:r w:rsidRPr="000F0B82">
        <w:t xml:space="preserve"> O Terapeuta de Referência deve investigar previamente, por telefone, se os pacientes agendados para atendimentos possuem sintomas do COVID-19. Caso apresentem sintomas do COVID-19, seguir o Fluxo de atendimento estabelecido.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III.</w:t>
      </w:r>
      <w:r w:rsidRPr="000F0B82">
        <w:t xml:space="preserve"> Priorizar atendimentos mais urgentes em detrimentos dos eletivos de pacientes estabilizados, a fim de reduzir a circulação e aglomerações de usuários pelo serviço. Neste sentido solicitar que os usuários que necessitem de atendimentos individuais cheguem somente 10 min antes.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IV.</w:t>
      </w:r>
      <w:r w:rsidRPr="000F0B82">
        <w:t xml:space="preserve"> O Paciente da saúde mental que esteja em quarentena, deve ser acompanhado por seu serviço de referência - CAPS ou Ambulatórios. 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lastRenderedPageBreak/>
        <w:t>V.</w:t>
      </w:r>
      <w:r w:rsidRPr="000F0B82">
        <w:t xml:space="preserve"> Os atendimentos da Equipe de Saúde Mental </w:t>
      </w:r>
      <w:r w:rsidR="00E61F14" w:rsidRPr="000F0B82">
        <w:t>Infanto-juvenil</w:t>
      </w:r>
      <w:r w:rsidRPr="000F0B82">
        <w:t xml:space="preserve"> na Atenção Básica devem ser realocados para a sede do serviço.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>VI.</w:t>
      </w:r>
      <w:r w:rsidRPr="000F0B82">
        <w:t xml:space="preserve"> Os CAPS deverão </w:t>
      </w:r>
      <w:proofErr w:type="spellStart"/>
      <w:proofErr w:type="gramStart"/>
      <w:r w:rsidRPr="000F0B82">
        <w:t>re-acolher</w:t>
      </w:r>
      <w:proofErr w:type="spellEnd"/>
      <w:proofErr w:type="gramEnd"/>
      <w:r w:rsidRPr="000F0B82">
        <w:t xml:space="preserve">, com brevidade, os pacientes da saúde mental que tiverem alta do HMNH. Para tanto, a equipe de saúde mental do HMNH entrará em contato com a coordenação do serviço ou Terapeuta de Referência do paciente para realizar o planejamento da alta. O paciente deve se atendido no mesmo dia da alta, preferencialmente, ou até </w:t>
      </w:r>
      <w:proofErr w:type="gramStart"/>
      <w:r w:rsidRPr="000F0B82">
        <w:t>2</w:t>
      </w:r>
      <w:proofErr w:type="gramEnd"/>
      <w:r w:rsidRPr="000F0B82">
        <w:t xml:space="preserve"> dias após a mesma.</w:t>
      </w:r>
    </w:p>
    <w:p w:rsidR="00625B11" w:rsidRPr="000F0B82" w:rsidRDefault="00276D67">
      <w:pPr>
        <w:spacing w:before="240"/>
        <w:jc w:val="both"/>
        <w:rPr>
          <w:color w:val="000000"/>
        </w:rPr>
      </w:pPr>
      <w:r w:rsidRPr="000F0B82">
        <w:rPr>
          <w:b/>
          <w:bCs/>
          <w:color w:val="000000"/>
        </w:rPr>
        <w:t xml:space="preserve">VII. </w:t>
      </w:r>
      <w:r w:rsidRPr="000F0B82">
        <w:rPr>
          <w:color w:val="000000"/>
        </w:rPr>
        <w:t xml:space="preserve">Os profissionais de referência devem contatar por telefone, duas vezes por semana, todos os seus pacientes que estiverem estabilizados e que, por esse motivo, </w:t>
      </w:r>
      <w:proofErr w:type="gramStart"/>
      <w:r w:rsidRPr="000F0B82">
        <w:rPr>
          <w:color w:val="000000"/>
        </w:rPr>
        <w:t>estão vindo</w:t>
      </w:r>
      <w:proofErr w:type="gramEnd"/>
      <w:r w:rsidRPr="000F0B82">
        <w:rPr>
          <w:color w:val="000000"/>
        </w:rPr>
        <w:t xml:space="preserve"> aos atendimentos com menor frequência do que previsto no seu Plano </w:t>
      </w:r>
      <w:r w:rsidR="00E61F14" w:rsidRPr="000F0B82">
        <w:rPr>
          <w:color w:val="000000"/>
        </w:rPr>
        <w:t>Terapêutico</w:t>
      </w:r>
      <w:r w:rsidRPr="000F0B82">
        <w:rPr>
          <w:color w:val="000000"/>
        </w:rPr>
        <w:t xml:space="preserve"> de Atividades.</w:t>
      </w:r>
    </w:p>
    <w:p w:rsidR="00625B11" w:rsidRPr="000F0B82" w:rsidRDefault="00276D67">
      <w:pPr>
        <w:spacing w:before="240"/>
        <w:jc w:val="both"/>
      </w:pPr>
      <w:r w:rsidRPr="000F0B82">
        <w:rPr>
          <w:b/>
          <w:bCs/>
        </w:rPr>
        <w:t xml:space="preserve">VIII. </w:t>
      </w:r>
      <w:r w:rsidRPr="000F0B82">
        <w:t>Unidade de Acolhimento Adulta (UAA) e Serviço Residencial Terapêutico (SRT):</w:t>
      </w:r>
    </w:p>
    <w:p w:rsidR="00625B11" w:rsidRPr="000F0B82" w:rsidRDefault="00276D67">
      <w:pPr>
        <w:spacing w:before="240"/>
        <w:ind w:firstLine="1417"/>
        <w:jc w:val="both"/>
      </w:pPr>
      <w:r w:rsidRPr="000F0B82">
        <w:t xml:space="preserve">a) Orientar os usuários para permanecerem na UAA ou </w:t>
      </w:r>
      <w:r w:rsidRPr="000F0B82">
        <w:rPr>
          <w:color w:val="000000"/>
        </w:rPr>
        <w:t>SRT</w:t>
      </w:r>
      <w:r w:rsidRPr="000F0B82">
        <w:t>, evitando ao máximo a circulação em outros espaços da cidade, de acordo com a revisão dos seus PTS e necessidade clínica do caso;</w:t>
      </w:r>
    </w:p>
    <w:p w:rsidR="00625B11" w:rsidRPr="000F0B82" w:rsidRDefault="00276D67">
      <w:pPr>
        <w:spacing w:before="240"/>
        <w:ind w:firstLine="1417"/>
        <w:jc w:val="both"/>
      </w:pPr>
      <w:r w:rsidRPr="000F0B82">
        <w:t>b)</w:t>
      </w:r>
      <w:r w:rsidRPr="000F0B82">
        <w:rPr>
          <w:b/>
        </w:rPr>
        <w:t xml:space="preserve"> </w:t>
      </w:r>
      <w:r w:rsidRPr="000F0B82">
        <w:t>Suspender as visitas, exceto de profissionais de saúde que poderão ofertar assistência de saúde, de acordo com a necessidade de cada usuário;</w:t>
      </w:r>
    </w:p>
    <w:p w:rsidR="00625B11" w:rsidRPr="000F0B82" w:rsidRDefault="00276D67">
      <w:pPr>
        <w:spacing w:before="240"/>
        <w:ind w:firstLine="1361"/>
        <w:jc w:val="both"/>
      </w:pPr>
      <w:r w:rsidRPr="000F0B82">
        <w:t>c)</w:t>
      </w:r>
      <w:r w:rsidRPr="000F0B82">
        <w:rPr>
          <w:b/>
        </w:rPr>
        <w:t xml:space="preserve"> </w:t>
      </w:r>
      <w:r w:rsidRPr="000F0B82">
        <w:t xml:space="preserve">Em caso do usuário apresentar sinais ou sintomas de febre alta, tosse seca, dificuldade para respirar, cansaço, fadiga e/ou diarreia, deverá procurar ou ser conduzido para o serviço de saúde, conforme fluxo de atendimento estabelecido para o COVID-19, a fim de receber os cuidados necessários. Deve se atentar que idosos e </w:t>
      </w:r>
      <w:proofErr w:type="spellStart"/>
      <w:r w:rsidRPr="000F0B82">
        <w:t>imunossuprimidos</w:t>
      </w:r>
      <w:proofErr w:type="spellEnd"/>
      <w:r w:rsidRPr="000F0B82">
        <w:t xml:space="preserve"> podem apresentar sintomas atípicos, como ausência de febre.</w:t>
      </w:r>
    </w:p>
    <w:p w:rsidR="00625B11" w:rsidRPr="000F0B82" w:rsidRDefault="00276D67">
      <w:pPr>
        <w:spacing w:before="240"/>
        <w:ind w:firstLine="1417"/>
        <w:jc w:val="both"/>
      </w:pPr>
      <w:r w:rsidRPr="000F0B82">
        <w:t xml:space="preserve">d) </w:t>
      </w:r>
      <w:r w:rsidRPr="000F0B82">
        <w:rPr>
          <w:color w:val="000000"/>
        </w:rPr>
        <w:t>Os residentes não devem compartilhar utensílios como: xícaras, garfos, facas, pratos, garrafas de água, cuia de chimarrão</w:t>
      </w:r>
      <w:r w:rsidR="000F0B82">
        <w:rPr>
          <w:color w:val="000000"/>
        </w:rPr>
        <w:t>.</w:t>
      </w:r>
    </w:p>
    <w:p w:rsidR="00625B11" w:rsidRPr="000F0B82" w:rsidRDefault="00E61F14">
      <w:pPr>
        <w:spacing w:before="240"/>
        <w:jc w:val="both"/>
      </w:pPr>
      <w:r>
        <w:tab/>
      </w:r>
      <w:r>
        <w:tab/>
        <w:t>SECRETARIA MUNICIPAL DE SAÚDE, aos 24 (vinte e quatro) dias do mês de março do ano de 2020.</w:t>
      </w:r>
    </w:p>
    <w:p w:rsidR="00625B11" w:rsidRPr="000F0B82" w:rsidRDefault="00625B11">
      <w:pPr>
        <w:spacing w:before="240"/>
        <w:jc w:val="both"/>
      </w:pPr>
    </w:p>
    <w:p w:rsidR="00625B11" w:rsidRPr="000F0B82" w:rsidRDefault="00276D67">
      <w:pPr>
        <w:spacing w:before="240"/>
      </w:pPr>
      <w:r w:rsidRPr="000F0B82">
        <w:tab/>
      </w:r>
      <w:r w:rsidRPr="000F0B82">
        <w:tab/>
      </w:r>
      <w:r w:rsidRPr="000F0B82">
        <w:tab/>
        <w:t>___________________________________</w:t>
      </w:r>
    </w:p>
    <w:p w:rsidR="00625B11" w:rsidRPr="000F0B82" w:rsidRDefault="00276D67">
      <w:pPr>
        <w:spacing w:before="240"/>
      </w:pPr>
      <w:r w:rsidRPr="000F0B82">
        <w:tab/>
      </w:r>
      <w:r w:rsidRPr="000F0B82">
        <w:tab/>
      </w:r>
      <w:r w:rsidRPr="000F0B82">
        <w:tab/>
        <w:t xml:space="preserve">            </w:t>
      </w:r>
      <w:proofErr w:type="spellStart"/>
      <w:r w:rsidRPr="000F0B82">
        <w:t>Naasom</w:t>
      </w:r>
      <w:proofErr w:type="spellEnd"/>
      <w:r w:rsidRPr="000F0B82">
        <w:t xml:space="preserve"> Luciano da Rocha</w:t>
      </w:r>
    </w:p>
    <w:p w:rsidR="00625B11" w:rsidRPr="000F0B82" w:rsidRDefault="00276D67">
      <w:pPr>
        <w:spacing w:before="240"/>
      </w:pPr>
      <w:r w:rsidRPr="000F0B82">
        <w:rPr>
          <w:rFonts w:eastAsia="Arial"/>
        </w:rPr>
        <w:t xml:space="preserve">                                          </w:t>
      </w:r>
      <w:r w:rsidRPr="000F0B82">
        <w:t>Secretário Municipal de Saúde/NH</w:t>
      </w:r>
    </w:p>
    <w:p w:rsidR="00625B11" w:rsidRPr="000F0B82" w:rsidRDefault="00625B11">
      <w:pPr>
        <w:tabs>
          <w:tab w:val="left" w:pos="708"/>
        </w:tabs>
        <w:rPr>
          <w:color w:val="333333"/>
          <w:u w:val="single"/>
        </w:rPr>
      </w:pPr>
    </w:p>
    <w:sectPr w:rsidR="00625B11" w:rsidRPr="000F0B82">
      <w:headerReference w:type="default" r:id="rId8"/>
      <w:footerReference w:type="default" r:id="rId9"/>
      <w:pgSz w:w="11906" w:h="16838"/>
      <w:pgMar w:top="1409" w:right="1162" w:bottom="837" w:left="1669" w:header="850" w:footer="27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CC" w:rsidRDefault="006848CC">
      <w:r>
        <w:separator/>
      </w:r>
    </w:p>
  </w:endnote>
  <w:endnote w:type="continuationSeparator" w:id="0">
    <w:p w:rsidR="006848CC" w:rsidRDefault="0068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11" w:rsidRDefault="00276D67">
    <w:pPr>
      <w:pStyle w:val="Rodap"/>
    </w:pPr>
    <w:r>
      <w:rPr>
        <w:noProof/>
        <w:lang w:eastAsia="pt-BR"/>
      </w:rPr>
      <w:drawing>
        <wp:anchor distT="0" distB="0" distL="0" distR="0" simplePos="0" relativeHeight="9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CC" w:rsidRDefault="006848CC">
      <w:r>
        <w:separator/>
      </w:r>
    </w:p>
  </w:footnote>
  <w:footnote w:type="continuationSeparator" w:id="0">
    <w:p w:rsidR="006848CC" w:rsidRDefault="0068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11" w:rsidRDefault="00276D67">
    <w:pPr>
      <w:pStyle w:val="Cabealho"/>
    </w:pPr>
    <w:r>
      <w:rPr>
        <w:noProof/>
        <w:lang w:eastAsia="pt-BR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-435610</wp:posOffset>
          </wp:positionV>
          <wp:extent cx="5843270" cy="717550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61F"/>
    <w:multiLevelType w:val="multilevel"/>
    <w:tmpl w:val="F5FEBE4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ascii="Arial" w:hAnsi="Arial" w:cs="Arial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hAnsi="Arial" w:cs="Arial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ascii="Arial" w:hAnsi="Arial" w:cs="Arial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ascii="Arial" w:hAnsi="Arial" w:cs="Arial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ascii="Arial" w:hAnsi="Arial" w:cs="Arial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Arial" w:hAnsi="Arial" w:cs="Arial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ascii="Arial" w:hAnsi="Arial" w:cs="Arial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" w:hAnsi="Arial" w:cs="Arial"/>
        <w:u w:val="none"/>
      </w:rPr>
    </w:lvl>
  </w:abstractNum>
  <w:abstractNum w:abstractNumId="1">
    <w:nsid w:val="361E64D7"/>
    <w:multiLevelType w:val="multilevel"/>
    <w:tmpl w:val="A88C8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EF0AD5"/>
    <w:multiLevelType w:val="multilevel"/>
    <w:tmpl w:val="5BE6FF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11"/>
    <w:rsid w:val="000F0B82"/>
    <w:rsid w:val="00276D67"/>
    <w:rsid w:val="00393AAD"/>
    <w:rsid w:val="00443BCE"/>
    <w:rsid w:val="00625B11"/>
    <w:rsid w:val="006848CC"/>
    <w:rsid w:val="008F2224"/>
    <w:rsid w:val="00AB1319"/>
    <w:rsid w:val="00B47160"/>
    <w:rsid w:val="00CD071C"/>
    <w:rsid w:val="00E6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Arial" w:hAnsi="Arial" w:cs="Arial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319"/>
    <w:rPr>
      <w:rFonts w:ascii="Tahoma" w:eastAsia="Times New Roman" w:hAnsi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Arial" w:hAnsi="Arial" w:cs="Arial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319"/>
    <w:rPr>
      <w:rFonts w:ascii="Tahoma" w:eastAsia="Times New Roman" w:hAnsi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1583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 Engler Noronha de Mello</dc:creator>
  <cp:lastModifiedBy>Aroaldo Reis</cp:lastModifiedBy>
  <cp:revision>6</cp:revision>
  <cp:lastPrinted>2020-03-02T10:29:00Z</cp:lastPrinted>
  <dcterms:created xsi:type="dcterms:W3CDTF">2020-03-24T18:20:00Z</dcterms:created>
  <dcterms:modified xsi:type="dcterms:W3CDTF">2020-03-24T18:59:00Z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