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Arial"/>
          <w:b/>
          <w:b/>
          <w:sz w:val="24"/>
          <w:szCs w:val="24"/>
          <w:u w:val="single"/>
        </w:rPr>
      </w:pPr>
      <w:bookmarkStart w:id="0" w:name="_GoBack"/>
      <w:bookmarkEnd w:id="0"/>
      <w:r>
        <w:rPr>
          <w:rFonts w:cs="Arial" w:ascii="Times New Roman" w:hAnsi="Times New Roman"/>
          <w:b/>
          <w:sz w:val="24"/>
          <w:szCs w:val="24"/>
          <w:u w:val="single"/>
        </w:rPr>
        <w:t xml:space="preserve">ORDEM DE SERVIÇO N° </w:t>
      </w:r>
      <w:r>
        <w:rPr>
          <w:rFonts w:cs="Arial" w:ascii="Times New Roman" w:hAnsi="Times New Roman"/>
          <w:b/>
          <w:sz w:val="24"/>
          <w:szCs w:val="24"/>
          <w:u w:val="single"/>
        </w:rPr>
        <w:t>05</w:t>
      </w:r>
    </w:p>
    <w:p>
      <w:pPr>
        <w:pStyle w:val="Normal"/>
        <w:spacing w:lineRule="auto" w:line="240"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lineRule="auto" w:line="240" w:before="0" w:after="0"/>
        <w:jc w:val="center"/>
        <w:rPr>
          <w:rFonts w:ascii="Times New Roman" w:hAnsi="Times New Roman" w:cs="Arial"/>
          <w:b/>
          <w:b/>
          <w:sz w:val="24"/>
          <w:szCs w:val="24"/>
        </w:rPr>
      </w:pPr>
      <w:r>
        <w:rPr>
          <w:rFonts w:cs="Arial" w:ascii="Times New Roman" w:hAnsi="Times New Roman"/>
          <w:b/>
          <w:sz w:val="24"/>
          <w:szCs w:val="24"/>
        </w:rPr>
      </w:r>
    </w:p>
    <w:p>
      <w:pPr>
        <w:pStyle w:val="Normal"/>
        <w:widowControl/>
        <w:bidi w:val="0"/>
        <w:spacing w:lineRule="auto" w:line="240" w:before="0" w:after="200"/>
        <w:ind w:left="5102" w:right="0" w:hanging="0"/>
        <w:jc w:val="both"/>
        <w:rPr>
          <w:rFonts w:ascii="Times New Roman" w:hAnsi="Times New Roman" w:cs="Arial"/>
          <w:b/>
          <w:b/>
          <w:sz w:val="24"/>
          <w:szCs w:val="24"/>
        </w:rPr>
      </w:pPr>
      <w:bookmarkStart w:id="1" w:name="__DdeLink__539_2380820176"/>
      <w:r>
        <w:rPr>
          <w:rFonts w:cs="Arial" w:ascii="Times New Roman" w:hAnsi="Times New Roman"/>
          <w:b/>
          <w:sz w:val="24"/>
          <w:szCs w:val="24"/>
        </w:rPr>
        <w:t>Dispõe sobre os indicadores da situação econômico-financeira das empresas licitantes da Administração Municipal</w:t>
      </w:r>
      <w:bookmarkEnd w:id="1"/>
      <w:r>
        <w:rPr>
          <w:rFonts w:cs="Arial" w:ascii="Times New Roman" w:hAnsi="Times New Roman"/>
          <w:b/>
          <w:sz w:val="24"/>
          <w:szCs w:val="24"/>
        </w:rPr>
        <w:t>.</w:t>
      </w:r>
    </w:p>
    <w:p>
      <w:pPr>
        <w:pStyle w:val="Normal"/>
        <w:widowControl/>
        <w:tabs>
          <w:tab w:val="clear" w:pos="708"/>
          <w:tab w:val="left" w:pos="1140" w:leader="none"/>
        </w:tabs>
        <w:bidi w:val="0"/>
        <w:spacing w:lineRule="auto" w:line="240" w:before="0" w:after="200"/>
        <w:ind w:left="0" w:right="0" w:firstLine="737"/>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1140" w:leader="none"/>
        </w:tabs>
        <w:bidi w:val="0"/>
        <w:spacing w:lineRule="auto" w:line="240" w:before="0" w:after="0"/>
        <w:ind w:left="0" w:right="0" w:firstLine="737"/>
        <w:jc w:val="both"/>
        <w:rPr>
          <w:rFonts w:ascii="Times New Roman" w:hAnsi="Times New Roman" w:cs="Arial"/>
          <w:sz w:val="24"/>
          <w:szCs w:val="24"/>
        </w:rPr>
      </w:pPr>
      <w:r>
        <w:rPr>
          <w:rFonts w:cs="Arial" w:ascii="Times New Roman" w:hAnsi="Times New Roman"/>
          <w:sz w:val="24"/>
          <w:szCs w:val="24"/>
        </w:rPr>
        <w:t>O Secretário de Administração do Município de Novo Hamburgo, no uso de suas atribuições legais, e</w:t>
      </w:r>
    </w:p>
    <w:p>
      <w:pPr>
        <w:pStyle w:val="Normal"/>
        <w:widowControl/>
        <w:tabs>
          <w:tab w:val="clear" w:pos="708"/>
          <w:tab w:val="left" w:pos="1140" w:leader="none"/>
        </w:tabs>
        <w:bidi w:val="0"/>
        <w:spacing w:lineRule="auto" w:line="240" w:before="0" w:after="0"/>
        <w:ind w:left="0" w:right="0" w:firstLine="737"/>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1140" w:leader="none"/>
        </w:tabs>
        <w:bidi w:val="0"/>
        <w:spacing w:lineRule="auto" w:line="240" w:before="0" w:after="0"/>
        <w:ind w:left="0" w:right="0" w:firstLine="737"/>
        <w:jc w:val="both"/>
        <w:rPr>
          <w:rFonts w:ascii="Times New Roman" w:hAnsi="Times New Roman" w:cs="Arial"/>
          <w:sz w:val="24"/>
          <w:szCs w:val="24"/>
        </w:rPr>
      </w:pPr>
      <w:r>
        <w:rPr>
          <w:rFonts w:cs="Arial" w:ascii="Times New Roman" w:hAnsi="Times New Roman"/>
          <w:sz w:val="24"/>
          <w:szCs w:val="24"/>
        </w:rPr>
        <w:t>Considerando o disposto no artigo 31,inciso I, §§ 1º e 5º, e artigo 118, da Lei Federal nº 8.666, de 21 de junho de 1993, referente à documentação de habilitação quanto à qualificação econômico-financeira das empresas licitantes;</w:t>
      </w:r>
    </w:p>
    <w:p>
      <w:pPr>
        <w:pStyle w:val="Normal"/>
        <w:widowControl/>
        <w:tabs>
          <w:tab w:val="clear" w:pos="708"/>
          <w:tab w:val="left" w:pos="1140" w:leader="none"/>
        </w:tabs>
        <w:bidi w:val="0"/>
        <w:spacing w:lineRule="auto" w:line="240" w:before="0" w:after="0"/>
        <w:ind w:left="0" w:right="0" w:firstLine="737"/>
        <w:jc w:val="both"/>
        <w:rPr>
          <w:rFonts w:ascii="Times New Roman" w:hAnsi="Times New Roman" w:cs="Arial"/>
          <w:sz w:val="24"/>
          <w:szCs w:val="24"/>
        </w:rPr>
      </w:pPr>
      <w:r>
        <w:rPr>
          <w:rFonts w:cs="Arial" w:ascii="Times New Roman" w:hAnsi="Times New Roman"/>
          <w:sz w:val="24"/>
          <w:szCs w:val="24"/>
        </w:rPr>
      </w:r>
    </w:p>
    <w:p>
      <w:pPr>
        <w:pStyle w:val="Normal"/>
        <w:widowControl/>
        <w:bidi w:val="0"/>
        <w:spacing w:lineRule="auto" w:line="240" w:before="0" w:after="0"/>
        <w:ind w:left="0" w:right="0" w:firstLine="737"/>
        <w:jc w:val="both"/>
        <w:rPr>
          <w:rFonts w:ascii="Times New Roman" w:hAnsi="Times New Roman" w:cs="Arial"/>
          <w:sz w:val="24"/>
          <w:szCs w:val="24"/>
        </w:rPr>
      </w:pPr>
      <w:r>
        <w:rPr>
          <w:rFonts w:cs="Arial" w:ascii="Times New Roman" w:hAnsi="Times New Roman"/>
          <w:sz w:val="24"/>
          <w:szCs w:val="24"/>
        </w:rPr>
        <w:t>Considerando que a instituição de indicadores padronizados para verificação da situação financeira das referidas empresas, proporcionará à Secretaria/Diretoria encarregada do cadastro e elaboração de processos licitatórios, melhores condições de avaliação da situação econômico-financeira das empresas;</w:t>
      </w:r>
    </w:p>
    <w:p>
      <w:pPr>
        <w:pStyle w:val="Normal"/>
        <w:widowControl/>
        <w:bidi w:val="0"/>
        <w:spacing w:lineRule="auto" w:line="240" w:before="0" w:after="0"/>
        <w:ind w:left="0" w:right="0" w:firstLine="737"/>
        <w:jc w:val="both"/>
        <w:rPr>
          <w:rFonts w:ascii="Times New Roman" w:hAnsi="Times New Roman" w:cs="Arial"/>
          <w:sz w:val="24"/>
          <w:szCs w:val="24"/>
        </w:rPr>
      </w:pPr>
      <w:r>
        <w:rPr>
          <w:rFonts w:cs="Arial" w:ascii="Times New Roman" w:hAnsi="Times New Roman"/>
          <w:sz w:val="24"/>
          <w:szCs w:val="24"/>
        </w:rPr>
      </w:r>
    </w:p>
    <w:p>
      <w:pPr>
        <w:pStyle w:val="Normal"/>
        <w:widowControl/>
        <w:bidi w:val="0"/>
        <w:spacing w:lineRule="auto" w:line="240" w:before="0" w:after="0"/>
        <w:ind w:left="0" w:right="0" w:firstLine="794"/>
        <w:jc w:val="both"/>
        <w:rPr>
          <w:rFonts w:ascii="Times New Roman" w:hAnsi="Times New Roman" w:cs="Arial"/>
          <w:sz w:val="24"/>
          <w:szCs w:val="24"/>
        </w:rPr>
      </w:pPr>
      <w:r>
        <w:rPr>
          <w:rFonts w:cs="Arial" w:ascii="Times New Roman" w:hAnsi="Times New Roman"/>
          <w:sz w:val="24"/>
          <w:szCs w:val="24"/>
        </w:rPr>
        <w:t>Considerando que os processos licitatórios devem ser permeados pelo Princípio da Competitividade, que visa a selecionar a proposta mais vantajosa para a Administração;</w:t>
      </w:r>
    </w:p>
    <w:p>
      <w:pPr>
        <w:pStyle w:val="Normal"/>
        <w:widowControl/>
        <w:bidi w:val="0"/>
        <w:spacing w:lineRule="auto" w:line="240" w:before="0" w:after="0"/>
        <w:ind w:left="0" w:right="0" w:firstLine="794"/>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jc w:val="both"/>
        <w:rPr>
          <w:rFonts w:ascii="Times New Roman" w:hAnsi="Times New Roman" w:cs="Arial"/>
          <w:b/>
          <w:b/>
          <w:sz w:val="24"/>
          <w:szCs w:val="24"/>
          <w:u w:val="single"/>
        </w:rPr>
      </w:pPr>
      <w:r>
        <w:rPr>
          <w:rFonts w:cs="Arial" w:ascii="Times New Roman" w:hAnsi="Times New Roman"/>
          <w:b/>
          <w:sz w:val="24"/>
          <w:szCs w:val="24"/>
          <w:u w:val="none"/>
        </w:rPr>
        <w:tab/>
      </w:r>
      <w:r>
        <w:rPr>
          <w:rFonts w:cs="Arial" w:ascii="Times New Roman" w:hAnsi="Times New Roman"/>
          <w:b/>
          <w:sz w:val="24"/>
          <w:szCs w:val="24"/>
          <w:u w:val="single"/>
        </w:rPr>
        <w:t>DETERMINO:</w:t>
      </w:r>
    </w:p>
    <w:p>
      <w:pPr>
        <w:pStyle w:val="Normal"/>
        <w:spacing w:lineRule="auto" w:line="240" w:before="0" w:after="0"/>
        <w:jc w:val="both"/>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sz w:val="24"/>
          <w:szCs w:val="24"/>
        </w:rPr>
        <w:t>Art. 1°</w:t>
      </w:r>
      <w:r>
        <w:rPr>
          <w:rFonts w:cs="Arial" w:ascii="Times New Roman" w:hAnsi="Times New Roman"/>
          <w:sz w:val="24"/>
          <w:szCs w:val="24"/>
        </w:rPr>
        <w:t xml:space="preserve"> - A verificação da situação econômico-financeira das empresas licitantes com o Município de Novo Hamburgo, observará o disposto na presente Ordem de Serviço.</w:t>
      </w:r>
    </w:p>
    <w:p>
      <w:pPr>
        <w:pStyle w:val="Normal"/>
        <w:spacing w:lineRule="auto" w:line="240" w:before="0" w:after="0"/>
        <w:ind w:left="0" w:right="0" w:firstLine="708"/>
        <w:jc w:val="both"/>
        <w:rPr>
          <w:rFonts w:cs="Arial"/>
        </w:rPr>
      </w:pPr>
      <w:r>
        <w:rPr>
          <w:rFonts w:ascii="Times New Roman" w:hAnsi="Times New Roman"/>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color w:val="000000"/>
          <w:sz w:val="24"/>
          <w:szCs w:val="24"/>
        </w:rPr>
        <w:t>Art. 2°</w:t>
      </w:r>
      <w:r>
        <w:rPr>
          <w:rFonts w:cs="Arial" w:ascii="Times New Roman" w:hAnsi="Times New Roman"/>
          <w:color w:val="000000"/>
          <w:sz w:val="24"/>
          <w:szCs w:val="24"/>
        </w:rPr>
        <w:t xml:space="preserve"> - Deverá ser apresentada, pelo licitante, certidão negativa de falência ou recuperação judicial expedida pelo distribuidor da sede do licitante.</w:t>
      </w:r>
    </w:p>
    <w:p>
      <w:pPr>
        <w:pStyle w:val="Normal"/>
        <w:spacing w:lineRule="auto" w:line="240" w:before="0" w:after="0"/>
        <w:ind w:left="0" w:right="0" w:firstLine="708"/>
        <w:jc w:val="both"/>
        <w:rPr>
          <w:rFonts w:cs="Arial"/>
          <w:color w:val="000000"/>
        </w:rPr>
      </w:pPr>
      <w:r>
        <w:rPr>
          <w:rFonts w:ascii="Times New Roman" w:hAnsi="Times New Roman"/>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color w:val="000000"/>
          <w:sz w:val="24"/>
          <w:szCs w:val="24"/>
        </w:rPr>
        <w:t xml:space="preserve">Parágrafo único. </w:t>
      </w:r>
      <w:r>
        <w:rPr>
          <w:rFonts w:cs="Arial" w:ascii="Times New Roman" w:hAnsi="Times New Roman"/>
          <w:color w:val="000000"/>
          <w:sz w:val="24"/>
          <w:szCs w:val="24"/>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os demais requisitos de habilitação.</w:t>
      </w:r>
    </w:p>
    <w:p>
      <w:pPr>
        <w:pStyle w:val="Normal"/>
        <w:spacing w:lineRule="auto" w:line="240" w:before="0" w:after="0"/>
        <w:ind w:left="0" w:right="0" w:firstLine="708"/>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color w:val="000000"/>
          <w:sz w:val="24"/>
          <w:szCs w:val="24"/>
        </w:rPr>
        <w:t>Art. 3°</w:t>
      </w:r>
      <w:r>
        <w:rPr>
          <w:rFonts w:cs="Arial" w:ascii="Times New Roman" w:hAnsi="Times New Roman"/>
          <w:color w:val="000000"/>
          <w:sz w:val="24"/>
          <w:szCs w:val="24"/>
        </w:rPr>
        <w:t xml:space="preserve"> - O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spacing w:lineRule="auto" w:line="240" w:before="0" w:after="0"/>
        <w:ind w:left="0" w:right="0" w:firstLine="708"/>
        <w:jc w:val="both"/>
        <w:rPr>
          <w:rFonts w:cs="Arial"/>
          <w:color w:val="000000"/>
        </w:rPr>
      </w:pPr>
      <w:r>
        <w:rPr>
          <w:rFonts w:ascii="Times New Roman" w:hAnsi="Times New Roman"/>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sz w:val="24"/>
          <w:szCs w:val="24"/>
        </w:rPr>
        <w:t>Art. 4°</w:t>
      </w:r>
      <w:r>
        <w:rPr>
          <w:rFonts w:cs="Arial" w:ascii="Times New Roman" w:hAnsi="Times New Roman"/>
          <w:sz w:val="24"/>
          <w:szCs w:val="24"/>
        </w:rPr>
        <w:t xml:space="preserve"> - </w:t>
      </w:r>
      <w:r>
        <w:rPr>
          <w:rFonts w:eastAsia="Verdana" w:cs="Arial" w:ascii="Times New Roman" w:hAnsi="Times New Roman"/>
          <w:color w:val="000000"/>
          <w:sz w:val="24"/>
          <w:szCs w:val="24"/>
        </w:rPr>
        <w:t xml:space="preserve">Para comprovar a boa situação financeira, as Licitantes terão que apresentar em conjunto com o balanço, a análise, devidamente assinada pelo contabilista responsável, dos </w:t>
      </w:r>
      <w:r>
        <w:rPr>
          <w:rFonts w:cs="Arial" w:ascii="Times New Roman" w:hAnsi="Times New Roman"/>
          <w:sz w:val="24"/>
          <w:szCs w:val="24"/>
        </w:rPr>
        <w:t>seguintes indicadores:</w:t>
      </w:r>
    </w:p>
    <w:p>
      <w:pPr>
        <w:pStyle w:val="Normal"/>
        <w:spacing w:lineRule="auto" w:line="240" w:before="0" w:after="0"/>
        <w:ind w:left="0" w:right="0" w:firstLine="708"/>
        <w:jc w:val="both"/>
        <w:rPr>
          <w:rFonts w:cs="Arial"/>
        </w:rPr>
      </w:pPr>
      <w:r>
        <w:rPr>
          <w:rFonts w:ascii="Times New Roman" w:hAnsi="Times New Roman"/>
          <w:sz w:val="24"/>
          <w:szCs w:val="24"/>
        </w:rPr>
      </w:r>
    </w:p>
    <w:p>
      <w:pPr>
        <w:pStyle w:val="Normal"/>
        <w:widowControl/>
        <w:bidi w:val="0"/>
        <w:spacing w:lineRule="auto" w:line="240" w:before="0" w:after="0"/>
        <w:ind w:left="1077" w:right="0" w:hanging="0"/>
        <w:jc w:val="both"/>
        <w:rPr>
          <w:rFonts w:ascii="Times New Roman" w:hAnsi="Times New Roman" w:cs="Arial"/>
          <w:sz w:val="24"/>
          <w:szCs w:val="24"/>
        </w:rPr>
      </w:pPr>
      <w:r>
        <w:rPr>
          <w:rFonts w:cs="Arial" w:ascii="Times New Roman" w:hAnsi="Times New Roman"/>
          <w:sz w:val="24"/>
          <w:szCs w:val="24"/>
        </w:rPr>
        <w:t>I – Índice de Liquidez Corrente(LC);</w:t>
      </w:r>
    </w:p>
    <w:p>
      <w:pPr>
        <w:pStyle w:val="Normal"/>
        <w:widowControl/>
        <w:bidi w:val="0"/>
        <w:spacing w:lineRule="auto" w:line="240" w:before="0" w:after="0"/>
        <w:ind w:left="1077" w:right="0" w:hanging="0"/>
        <w:jc w:val="both"/>
        <w:rPr>
          <w:rFonts w:ascii="Times New Roman" w:hAnsi="Times New Roman" w:cs="Arial"/>
          <w:sz w:val="24"/>
          <w:szCs w:val="24"/>
        </w:rPr>
      </w:pPr>
      <w:r>
        <w:rPr>
          <w:rFonts w:cs="Arial" w:ascii="Times New Roman" w:hAnsi="Times New Roman"/>
          <w:sz w:val="24"/>
          <w:szCs w:val="24"/>
        </w:rPr>
        <w:t>II – Índice de Liquidez Geral (LG);</w:t>
      </w:r>
    </w:p>
    <w:p>
      <w:pPr>
        <w:pStyle w:val="Normal"/>
        <w:widowControl/>
        <w:bidi w:val="0"/>
        <w:spacing w:lineRule="auto" w:line="240" w:before="0" w:after="0"/>
        <w:ind w:left="1077" w:right="0" w:hanging="0"/>
        <w:jc w:val="both"/>
        <w:rPr>
          <w:rFonts w:ascii="Times New Roman" w:hAnsi="Times New Roman" w:cs="Arial"/>
          <w:sz w:val="24"/>
          <w:szCs w:val="24"/>
        </w:rPr>
      </w:pPr>
      <w:r>
        <w:rPr>
          <w:rFonts w:cs="Arial" w:ascii="Times New Roman" w:hAnsi="Times New Roman"/>
          <w:sz w:val="24"/>
          <w:szCs w:val="24"/>
        </w:rPr>
        <w:t>III – Índice de Solvência Geral (SG);</w:t>
      </w:r>
    </w:p>
    <w:p>
      <w:pPr>
        <w:pStyle w:val="Normal"/>
        <w:widowControl/>
        <w:bidi w:val="0"/>
        <w:spacing w:lineRule="auto" w:line="240" w:before="0" w:after="0"/>
        <w:ind w:left="1077" w:right="0" w:hanging="0"/>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sz w:val="24"/>
          <w:szCs w:val="24"/>
        </w:rPr>
        <w:t>§ 1°</w:t>
      </w:r>
      <w:r>
        <w:rPr>
          <w:rFonts w:cs="Arial" w:ascii="Times New Roman" w:hAnsi="Times New Roman"/>
          <w:sz w:val="24"/>
          <w:szCs w:val="24"/>
        </w:rPr>
        <w:t xml:space="preserve"> - Obterão classificação econômico-financeira as empresas que apresentarem indicadores iguais ou superiores aos estabelecidos nesta Ordem de Serviço, conforme Anexo I desta Ordem de Serviço.</w:t>
      </w:r>
    </w:p>
    <w:p>
      <w:pPr>
        <w:pStyle w:val="Normal"/>
        <w:spacing w:lineRule="auto" w:line="240" w:before="0" w:after="0"/>
        <w:ind w:left="0" w:right="0" w:firstLine="708"/>
        <w:jc w:val="both"/>
        <w:rPr>
          <w:rFonts w:cs="Arial"/>
        </w:rPr>
      </w:pPr>
      <w:r>
        <w:rPr>
          <w:rFonts w:ascii="Times New Roman" w:hAnsi="Times New Roman"/>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sz w:val="24"/>
          <w:szCs w:val="24"/>
        </w:rPr>
        <w:t>§ 2°</w:t>
      </w:r>
      <w:r>
        <w:rPr>
          <w:rFonts w:cs="Arial" w:ascii="Times New Roman" w:hAnsi="Times New Roman"/>
          <w:sz w:val="24"/>
          <w:szCs w:val="24"/>
        </w:rPr>
        <w:t xml:space="preserve"> - Os licitantes deverão ainda comprovar que possuem patrimônio líquido mínimo de 10% (dez por cento) do valor estimado da contratação, </w:t>
      </w:r>
      <w:r>
        <w:rPr>
          <w:rFonts w:eastAsia="Verdana" w:cs="Arial" w:ascii="Times New Roman" w:hAnsi="Times New Roman"/>
          <w:color w:val="000000"/>
          <w:sz w:val="24"/>
          <w:szCs w:val="24"/>
        </w:rPr>
        <w:t>por meio da apresentação do balanço patrimonial e demonstrações contábeis do último exercício social, apresentados na forma da lei, vedada a substituição por balancetes ou balanços provisórios,</w:t>
      </w:r>
      <w:r>
        <w:rPr>
          <w:rFonts w:cs="Arial" w:ascii="Times New Roman" w:hAnsi="Times New Roman"/>
          <w:sz w:val="24"/>
          <w:szCs w:val="24"/>
        </w:rPr>
        <w:t xml:space="preserve"> para fins de obtenção da sua classificação econômico-financeira.</w:t>
      </w:r>
    </w:p>
    <w:p>
      <w:pPr>
        <w:pStyle w:val="Normal"/>
        <w:spacing w:lineRule="auto" w:line="240" w:before="0" w:after="0"/>
        <w:ind w:left="0" w:right="0" w:firstLine="708"/>
        <w:jc w:val="both"/>
        <w:rPr>
          <w:rFonts w:cs="Arial"/>
        </w:rPr>
      </w:pPr>
      <w:r>
        <w:rPr>
          <w:rFonts w:ascii="Times New Roman" w:hAnsi="Times New Roman"/>
          <w:sz w:val="24"/>
          <w:szCs w:val="24"/>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sz w:val="24"/>
          <w:szCs w:val="24"/>
        </w:rPr>
        <w:t>Art. 5°</w:t>
      </w:r>
      <w:r>
        <w:rPr>
          <w:rFonts w:cs="Arial" w:ascii="Times New Roman" w:hAnsi="Times New Roman"/>
          <w:sz w:val="24"/>
          <w:szCs w:val="24"/>
        </w:rPr>
        <w:t xml:space="preserve"> - Para efeito de controle dos prazos e de validade da qualificação econômico-financeira, os Certificados de Registro Cadastral deverão apresentar a data de vencimento das referidas peças contábeis.</w:t>
      </w:r>
    </w:p>
    <w:p>
      <w:pPr>
        <w:pStyle w:val="Normal"/>
        <w:spacing w:lineRule="auto" w:line="240" w:before="0" w:after="0"/>
        <w:ind w:left="0" w:right="0" w:firstLine="708"/>
        <w:jc w:val="both"/>
        <w:rPr>
          <w:rFonts w:ascii="Times New Roman" w:hAnsi="Times New Roman" w:eastAsia="Times New Roman" w:cs="Arial"/>
          <w:sz w:val="24"/>
          <w:szCs w:val="24"/>
          <w:lang w:eastAsia="pt-BR"/>
        </w:rPr>
      </w:pPr>
      <w:r>
        <w:rPr>
          <w:rFonts w:eastAsia="Times New Roman" w:cs="Arial" w:ascii="Times New Roman" w:hAnsi="Times New Roman"/>
          <w:sz w:val="24"/>
          <w:szCs w:val="24"/>
          <w:lang w:eastAsia="pt-BR"/>
        </w:rPr>
      </w:r>
    </w:p>
    <w:p>
      <w:pPr>
        <w:pStyle w:val="Normal"/>
        <w:spacing w:lineRule="auto" w:line="240" w:before="0" w:after="0"/>
        <w:jc w:val="both"/>
        <w:rPr>
          <w:rFonts w:ascii="Times New Roman" w:hAnsi="Times New Roman" w:eastAsia="Times New Roman" w:cs="Arial"/>
          <w:sz w:val="24"/>
          <w:szCs w:val="24"/>
          <w:lang w:eastAsia="pt-BR"/>
        </w:rPr>
      </w:pPr>
      <w:r>
        <w:rPr>
          <w:rFonts w:eastAsia="Times New Roman" w:cs="Arial" w:ascii="Times New Roman" w:hAnsi="Times New Roman"/>
          <w:sz w:val="24"/>
          <w:szCs w:val="24"/>
          <w:lang w:eastAsia="pt-BR"/>
        </w:rPr>
      </w:r>
    </w:p>
    <w:p>
      <w:pPr>
        <w:pStyle w:val="Normal"/>
        <w:spacing w:lineRule="auto" w:line="240" w:before="0" w:after="0"/>
        <w:ind w:left="0" w:right="0" w:firstLine="708"/>
        <w:jc w:val="both"/>
        <w:rPr>
          <w:rFonts w:ascii="Times New Roman" w:hAnsi="Times New Roman"/>
          <w:sz w:val="24"/>
          <w:szCs w:val="24"/>
        </w:rPr>
      </w:pPr>
      <w:r>
        <w:rPr>
          <w:rFonts w:cs="Arial" w:ascii="Times New Roman" w:hAnsi="Times New Roman"/>
          <w:b/>
          <w:sz w:val="24"/>
          <w:szCs w:val="24"/>
        </w:rPr>
        <w:t>Art. 6°</w:t>
      </w:r>
      <w:r>
        <w:rPr>
          <w:rFonts w:cs="Arial" w:ascii="Times New Roman" w:hAnsi="Times New Roman"/>
          <w:sz w:val="24"/>
          <w:szCs w:val="24"/>
        </w:rPr>
        <w:t xml:space="preserve"> - Esta Ordem de Serviço entra em vigor na data de sua publicação.</w:t>
      </w:r>
    </w:p>
    <w:p>
      <w:pPr>
        <w:pStyle w:val="Normal"/>
        <w:spacing w:lineRule="auto" w:line="240" w:before="0" w:after="0"/>
        <w:ind w:left="0" w:right="0"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ind w:left="0" w:right="0"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ind w:left="0" w:right="0" w:firstLine="708"/>
        <w:jc w:val="both"/>
        <w:rPr>
          <w:rFonts w:ascii="Times New Roman" w:hAnsi="Times New Roman" w:cs="Arial"/>
          <w:sz w:val="24"/>
          <w:szCs w:val="24"/>
        </w:rPr>
      </w:pPr>
      <w:r>
        <w:rPr>
          <w:rFonts w:cs="Arial" w:ascii="Times New Roman" w:hAnsi="Times New Roman"/>
          <w:sz w:val="24"/>
          <w:szCs w:val="24"/>
        </w:rPr>
        <w:t xml:space="preserve">SECRETARIA MUNICIPAL DE ADMINISTRAÇÃO, aos </w:t>
      </w:r>
      <w:r>
        <w:rPr>
          <w:rFonts w:cs="Arial" w:ascii="Times New Roman" w:hAnsi="Times New Roman"/>
          <w:sz w:val="24"/>
          <w:szCs w:val="24"/>
        </w:rPr>
        <w:t>sete</w:t>
      </w:r>
      <w:r>
        <w:rPr>
          <w:rFonts w:cs="Arial" w:ascii="Times New Roman" w:hAnsi="Times New Roman"/>
          <w:sz w:val="24"/>
          <w:szCs w:val="24"/>
        </w:rPr>
        <w:t xml:space="preserve"> (</w:t>
      </w:r>
      <w:r>
        <w:rPr>
          <w:rFonts w:cs="Arial" w:ascii="Times New Roman" w:hAnsi="Times New Roman"/>
          <w:sz w:val="24"/>
          <w:szCs w:val="24"/>
        </w:rPr>
        <w:t>sete</w:t>
      </w:r>
      <w:r>
        <w:rPr>
          <w:rFonts w:cs="Arial" w:ascii="Times New Roman" w:hAnsi="Times New Roman"/>
          <w:sz w:val="24"/>
          <w:szCs w:val="24"/>
        </w:rPr>
        <w:t>) dias do mês de maio de 2020.</w:t>
      </w:r>
    </w:p>
    <w:p>
      <w:pPr>
        <w:pStyle w:val="Normal"/>
        <w:spacing w:lineRule="auto" w:line="240" w:before="0" w:after="0"/>
        <w:ind w:left="0" w:right="0" w:firstLine="708"/>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firstLine="3969"/>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firstLine="3969"/>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firstLine="3969"/>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firstLine="3969"/>
        <w:jc w:val="both"/>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widowControl/>
        <w:tabs>
          <w:tab w:val="clear" w:pos="708"/>
          <w:tab w:val="left" w:pos="3915" w:leader="none"/>
        </w:tabs>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t>NEI LU</w:t>
      </w:r>
      <w:r>
        <w:rPr>
          <w:rFonts w:cs="Arial" w:ascii="Times New Roman" w:hAnsi="Times New Roman"/>
          <w:sz w:val="24"/>
          <w:szCs w:val="24"/>
        </w:rPr>
        <w:t>Í</w:t>
      </w:r>
      <w:r>
        <w:rPr>
          <w:rFonts w:cs="Arial" w:ascii="Times New Roman" w:hAnsi="Times New Roman"/>
          <w:sz w:val="24"/>
          <w:szCs w:val="24"/>
        </w:rPr>
        <w:t>S SARMENTO</w:t>
      </w:r>
    </w:p>
    <w:p>
      <w:pPr>
        <w:pStyle w:val="Normal"/>
        <w:widowControl/>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t>Secretário Municipal de Administração</w:t>
      </w:r>
    </w:p>
    <w:p>
      <w:pPr>
        <w:pStyle w:val="Normal"/>
        <w:spacing w:lineRule="auto" w:line="240" w:before="0" w:after="0"/>
        <w:ind w:left="0" w:right="0"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ind w:left="0" w:right="0"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40"/>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 </w:t>
      </w:r>
    </w:p>
    <w:p>
      <w:pPr>
        <w:pStyle w:val="Normal"/>
        <w:spacing w:lineRule="auto" w:line="240" w:before="0" w:after="0"/>
        <w:jc w:val="both"/>
        <w:rPr>
          <w:rFonts w:ascii="Times New Roman" w:hAnsi="Times New Roman" w:cs="Arial"/>
          <w:sz w:val="24"/>
          <w:szCs w:val="24"/>
        </w:rPr>
      </w:pPr>
      <w:r>
        <w:rPr>
          <w:rFonts w:cs="Arial" w:ascii="Times New Roman" w:hAnsi="Times New Roman"/>
          <w:sz w:val="24"/>
          <w:szCs w:val="24"/>
        </w:rPr>
      </w:r>
    </w:p>
    <w:p>
      <w:pPr>
        <w:pStyle w:val="Normal"/>
        <w:spacing w:lineRule="auto" w:line="240" w:before="0" w:after="0"/>
        <w:jc w:val="both"/>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40"/>
        <w:jc w:val="center"/>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40"/>
        <w:jc w:val="center"/>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40" w:before="0" w:after="0"/>
        <w:jc w:val="center"/>
        <w:rPr>
          <w:rFonts w:ascii="Times New Roman" w:hAnsi="Times New Roman" w:cs="Arial"/>
          <w:b/>
          <w:b/>
          <w:sz w:val="24"/>
          <w:szCs w:val="24"/>
          <w:u w:val="single"/>
        </w:rPr>
      </w:pPr>
      <w:r>
        <w:rPr>
          <w:rFonts w:cs="Arial" w:ascii="Times New Roman" w:hAnsi="Times New Roman"/>
          <w:b/>
          <w:sz w:val="24"/>
          <w:szCs w:val="24"/>
          <w:u w:val="single"/>
        </w:rPr>
        <w:t>ANEXO I</w:t>
      </w:r>
    </w:p>
    <w:p>
      <w:pPr>
        <w:pStyle w:val="Normal"/>
        <w:spacing w:lineRule="auto" w:line="240" w:before="0" w:after="0"/>
        <w:jc w:val="center"/>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40" w:before="0" w:after="0"/>
        <w:jc w:val="center"/>
        <w:rPr>
          <w:rFonts w:ascii="Times New Roman" w:hAnsi="Times New Roman" w:cs="Arial"/>
          <w:b/>
          <w:b/>
          <w:sz w:val="24"/>
          <w:szCs w:val="24"/>
          <w:u w:val="single"/>
        </w:rPr>
      </w:pPr>
      <w:r>
        <w:rPr>
          <w:rFonts w:cs="Arial" w:ascii="Times New Roman" w:hAnsi="Times New Roman"/>
          <w:b/>
          <w:sz w:val="24"/>
          <w:szCs w:val="24"/>
          <w:u w:val="single"/>
        </w:rPr>
      </w:r>
    </w:p>
    <w:p>
      <w:pPr>
        <w:pStyle w:val="ListParagraph"/>
        <w:numPr>
          <w:ilvl w:val="0"/>
          <w:numId w:val="1"/>
        </w:numPr>
        <w:spacing w:lineRule="auto" w:line="240"/>
        <w:jc w:val="both"/>
        <w:rPr>
          <w:rFonts w:ascii="Times New Roman" w:hAnsi="Times New Roman" w:eastAsia="Verdana" w:cs="Arial"/>
          <w:b/>
          <w:b/>
          <w:color w:val="000000"/>
          <w:sz w:val="24"/>
          <w:szCs w:val="24"/>
        </w:rPr>
      </w:pPr>
      <w:r>
        <w:rPr>
          <w:rFonts w:eastAsia="Verdana" w:cs="Arial" w:ascii="Times New Roman" w:hAnsi="Times New Roman"/>
          <w:b/>
          <w:color w:val="000000"/>
          <w:sz w:val="24"/>
          <w:szCs w:val="24"/>
        </w:rPr>
        <w:t xml:space="preserve">Liquidez Corrente  - LC: </w:t>
      </w:r>
    </w:p>
    <w:p>
      <w:pPr>
        <w:pStyle w:val="Normal"/>
        <w:spacing w:lineRule="auto" w:line="240" w:before="0" w:after="0"/>
        <w:jc w:val="both"/>
        <w:rPr>
          <w:rFonts w:eastAsia="Verdana" w:cs="Arial"/>
          <w:color w:val="000000"/>
          <w:u w:val="single"/>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Verdana" w:cs="Arial" w:ascii="Times New Roman" w:hAnsi="Times New Roman"/>
          <w:color w:val="000000"/>
          <w:sz w:val="24"/>
          <w:szCs w:val="24"/>
          <w:u w:val="single"/>
        </w:rPr>
        <w:t xml:space="preserve">Ativo Circulante    </w:t>
      </w:r>
      <w:r>
        <w:rPr>
          <w:rFonts w:eastAsia="Verdana" w:cs="Arial" w:ascii="Times New Roman" w:hAnsi="Times New Roman"/>
          <w:color w:val="000000"/>
          <w:sz w:val="24"/>
          <w:szCs w:val="24"/>
        </w:rPr>
        <w:t>= 1,0 ou maior</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Passivo Circulante</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OBS: Esse índice tem o objetivo de avaliar a capacidade da empresa de saldar suas obrigações de curto prazo, pois considera no seu numerador (Ativo Circulante) itens como: disponibilidades, valores a receber de curto prazo, estoques, entre outros. No denominador (Passivo Circulante) estão incluídos as dívidas e obrigações vencíveis também no curto prazo, tais como salários, fornecedores, impostos entre outras dívidas de curto prazo. Logo, tal índice visa demonstrar a situação de liquidez da empresa.  Assim, considerando que o valor total estimado da obra, bem como o cronograma físico-financeiro vislumbrado pela Comissão Permanente de Licitações, que é de 6 (seis) meses para a realização das obras, bem como o disposto no art. 78, XV, da Lei 8.666/1993 entende-se que a empresa deve apresentar, no mínimo, um índice igual ou superior a 1,0, o que expressaria uma situação de equilíbrio financeiro da empresa, demonstrando que  seus ativos de curto prazo são suficientes para fazer frente aos suas obrigações também de curto prazo, principalmente, no que tange ao pagamento de salários de trabalhadores e insumos necessários para a execução do objeto licitado.</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ListParagraph"/>
        <w:numPr>
          <w:ilvl w:val="0"/>
          <w:numId w:val="1"/>
        </w:numPr>
        <w:spacing w:lineRule="auto" w:line="240"/>
        <w:jc w:val="both"/>
        <w:rPr>
          <w:rFonts w:ascii="Times New Roman" w:hAnsi="Times New Roman" w:eastAsia="Verdana" w:cs="Arial"/>
          <w:color w:val="000000"/>
          <w:sz w:val="24"/>
          <w:szCs w:val="24"/>
        </w:rPr>
      </w:pPr>
      <w:r>
        <w:rPr>
          <w:rFonts w:eastAsia="Verdana" w:cs="Arial" w:ascii="Times New Roman" w:hAnsi="Times New Roman"/>
          <w:b/>
          <w:color w:val="000000"/>
          <w:sz w:val="24"/>
          <w:szCs w:val="24"/>
        </w:rPr>
        <w:t>Liquidez Geral - LG:</w:t>
      </w:r>
    </w:p>
    <w:p>
      <w:pPr>
        <w:pStyle w:val="Normal"/>
        <w:spacing w:lineRule="auto" w:line="240" w:before="0" w:after="0"/>
        <w:jc w:val="both"/>
        <w:rPr>
          <w:rFonts w:ascii="Times New Roman" w:hAnsi="Times New Roman"/>
          <w:sz w:val="24"/>
          <w:szCs w:val="24"/>
        </w:rPr>
      </w:pPr>
      <w:r>
        <w:rPr>
          <w:rFonts w:eastAsia="Verdana" w:cs="Arial" w:ascii="Times New Roman" w:hAnsi="Times New Roman"/>
          <w:color w:val="000000"/>
          <w:sz w:val="24"/>
          <w:szCs w:val="24"/>
          <w:u w:val="single"/>
        </w:rPr>
        <w:t xml:space="preserve">Ativo Circulante + Realizável a Longo Prazo </w:t>
      </w:r>
      <w:r>
        <w:rPr>
          <w:rFonts w:eastAsia="Verdana" w:cs="Arial" w:ascii="Times New Roman" w:hAnsi="Times New Roman"/>
          <w:color w:val="000000"/>
          <w:sz w:val="24"/>
          <w:szCs w:val="24"/>
        </w:rPr>
        <w:t>= 1,0 ou maior</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Passivo Circulante + Exigível a Longo Prazo</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40" w:before="0" w:after="0"/>
        <w:jc w:val="both"/>
        <w:rPr>
          <w:rFonts w:ascii="Times New Roman" w:hAnsi="Times New Roman"/>
          <w:sz w:val="24"/>
          <w:szCs w:val="24"/>
        </w:rPr>
      </w:pPr>
      <w:r>
        <w:rPr>
          <w:rFonts w:eastAsia="Verdana" w:cs="Arial" w:ascii="Times New Roman" w:hAnsi="Times New Roman"/>
          <w:color w:val="000000"/>
          <w:sz w:val="24"/>
          <w:szCs w:val="24"/>
        </w:rPr>
        <w:t xml:space="preserve">OBS: Esse índice mede a capacidade da empresa em liquidar suas dívidas a longo prazo. Ele </w:t>
      </w:r>
      <w:r>
        <w:rPr>
          <w:rFonts w:cs="Arial" w:ascii="Times New Roman" w:hAnsi="Times New Roman"/>
          <w:sz w:val="24"/>
          <w:szCs w:val="24"/>
        </w:rPr>
        <w:t xml:space="preserve">indica quanto a empresa possui em disponibilidades, bens e direitos realizáveis no curto e no longo prazo para liquidar suas obrigações. Logo, o indicador de liquidez de 1,00 ou maior tende a indicar que a empresa encontra-se em situação de equilíbrio, o que evidenciaria a manutenção da continuidade de suas atividades.   </w:t>
      </w:r>
    </w:p>
    <w:p>
      <w:pPr>
        <w:pStyle w:val="Normal"/>
        <w:spacing w:lineRule="auto" w:line="240" w:before="0" w:after="0"/>
        <w:jc w:val="both"/>
        <w:rPr>
          <w:rFonts w:ascii="Times New Roman" w:hAnsi="Times New Roman" w:eastAsia="Verdana" w:cs="Arial"/>
          <w:b/>
          <w:b/>
          <w:color w:val="000000"/>
          <w:sz w:val="24"/>
          <w:szCs w:val="24"/>
        </w:rPr>
      </w:pPr>
      <w:r>
        <w:rPr>
          <w:rFonts w:eastAsia="Verdana" w:cs="Arial" w:ascii="Times New Roman" w:hAnsi="Times New Roman"/>
          <w:b/>
          <w:color w:val="000000"/>
          <w:sz w:val="24"/>
          <w:szCs w:val="24"/>
        </w:rPr>
      </w:r>
    </w:p>
    <w:p>
      <w:pPr>
        <w:pStyle w:val="Normal"/>
        <w:spacing w:lineRule="auto" w:line="240" w:before="0" w:after="0"/>
        <w:jc w:val="both"/>
        <w:rPr>
          <w:rFonts w:ascii="Times New Roman" w:hAnsi="Times New Roman" w:eastAsia="Verdana" w:cs="Arial"/>
          <w:b/>
          <w:b/>
          <w:color w:val="000000"/>
          <w:sz w:val="24"/>
          <w:szCs w:val="24"/>
        </w:rPr>
      </w:pPr>
      <w:r>
        <w:rPr>
          <w:rFonts w:eastAsia="Verdana" w:cs="Arial" w:ascii="Times New Roman" w:hAnsi="Times New Roman"/>
          <w:b/>
          <w:color w:val="000000"/>
          <w:sz w:val="24"/>
          <w:szCs w:val="24"/>
        </w:rPr>
      </w:r>
    </w:p>
    <w:p>
      <w:pPr>
        <w:pStyle w:val="ListParagraph"/>
        <w:numPr>
          <w:ilvl w:val="0"/>
          <w:numId w:val="1"/>
        </w:numPr>
        <w:spacing w:lineRule="auto" w:line="240"/>
        <w:jc w:val="both"/>
        <w:rPr>
          <w:rFonts w:ascii="Times New Roman" w:hAnsi="Times New Roman" w:eastAsia="Verdana" w:cs="Arial"/>
          <w:b/>
          <w:b/>
          <w:color w:val="000000"/>
          <w:sz w:val="24"/>
          <w:szCs w:val="24"/>
        </w:rPr>
      </w:pPr>
      <w:r>
        <w:rPr>
          <w:rFonts w:eastAsia="Verdana" w:cs="Arial" w:ascii="Times New Roman" w:hAnsi="Times New Roman"/>
          <w:b/>
          <w:color w:val="000000"/>
          <w:sz w:val="24"/>
          <w:szCs w:val="24"/>
        </w:rPr>
        <w:t>Solvência Geral – SG:</w:t>
      </w:r>
    </w:p>
    <w:p>
      <w:pPr>
        <w:pStyle w:val="Normal"/>
        <w:spacing w:lineRule="auto" w:line="240" w:before="0" w:after="0"/>
        <w:jc w:val="both"/>
        <w:rPr>
          <w:rFonts w:ascii="Times New Roman" w:hAnsi="Times New Roman"/>
          <w:sz w:val="24"/>
          <w:szCs w:val="24"/>
        </w:rPr>
      </w:pPr>
      <w:r>
        <w:rPr>
          <w:rFonts w:eastAsia="Verdana" w:cs="Arial" w:ascii="Times New Roman" w:hAnsi="Times New Roman"/>
          <w:color w:val="000000"/>
          <w:sz w:val="24"/>
          <w:szCs w:val="24"/>
          <w:u w:val="single"/>
        </w:rPr>
        <w:t xml:space="preserve">Ativo Total                                                 </w:t>
      </w:r>
      <w:r>
        <w:rPr>
          <w:rFonts w:eastAsia="Verdana" w:cs="Arial" w:ascii="Times New Roman" w:hAnsi="Times New Roman"/>
          <w:color w:val="000000"/>
          <w:sz w:val="24"/>
          <w:szCs w:val="24"/>
        </w:rPr>
        <w:t xml:space="preserve"> = 1,0 ou maior</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Passivo Circulante + Exigível a Longo Prazo</w:t>
      </w:r>
    </w:p>
    <w:p>
      <w:pPr>
        <w:pStyle w:val="Normal"/>
        <w:spacing w:lineRule="auto" w:line="240"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40" w:before="0" w:after="0"/>
        <w:jc w:val="both"/>
        <w:rPr>
          <w:rFonts w:eastAsia="Verdana" w:cs="Arial"/>
          <w:color w:val="000000"/>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Verdana" w:cs="Arial" w:ascii="Times New Roman" w:hAnsi="Times New Roman"/>
          <w:color w:val="000000"/>
          <w:sz w:val="24"/>
          <w:szCs w:val="24"/>
        </w:rPr>
        <w:t xml:space="preserve">OBS: Esse índice mede a capacidade financeira da empresa a longo prazo satisfazer as obrigações assumidas perante terceiros, exigíveis a qualquer prazo. </w:t>
      </w:r>
      <w:r>
        <w:rPr>
          <w:rFonts w:cs="Arial" w:ascii="Times New Roman" w:hAnsi="Times New Roman"/>
          <w:sz w:val="24"/>
          <w:szCs w:val="24"/>
        </w:rPr>
        <w:t>Envolve além dos recursos líquidos, também os permanentes.</w:t>
      </w:r>
    </w:p>
    <w:sectPr>
      <w:headerReference w:type="default" r:id="rId2"/>
      <w:footerReference w:type="default" r:id="rId3"/>
      <w:type w:val="nextPage"/>
      <w:pgSz w:w="11906" w:h="16838"/>
      <w:pgMar w:left="1701" w:right="1701" w:header="1417" w:top="1969"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 w:name="Cambria">
    <w:charset w:val="0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mbria" w:hAnsi="Cambria"/>
      </w:rPr>
    </w:pPr>
    <w:r>
      <w:rPr>
        <w:rFonts w:ascii="Cambria" w:hAnsi="Cambria"/>
      </w:rPr>
      <w:drawing>
        <wp:anchor behindDoc="1" distT="0" distB="0" distL="0" distR="0" simplePos="0" locked="0" layoutInCell="1" allowOverlap="1" relativeHeight="6">
          <wp:simplePos x="0" y="0"/>
          <wp:positionH relativeFrom="column">
            <wp:posOffset>-146685</wp:posOffset>
          </wp:positionH>
          <wp:positionV relativeFrom="paragraph">
            <wp:posOffset>231775</wp:posOffset>
          </wp:positionV>
          <wp:extent cx="5927725" cy="32131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84" t="-2122" r="-84" b="-2122"/>
                  <a:stretch>
                    <a:fillRect/>
                  </a:stretch>
                </pic:blipFill>
                <pic:spPr bwMode="auto">
                  <a:xfrm>
                    <a:off x="0" y="0"/>
                    <a:ext cx="5927725" cy="321310"/>
                  </a:xfrm>
                  <a:prstGeom prst="rect">
                    <a:avLst/>
                  </a:prstGeom>
                </pic:spPr>
              </pic:pic>
            </a:graphicData>
          </a:graphic>
        </wp:anchor>
      </w:drawing>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3">
          <wp:simplePos x="0" y="0"/>
          <wp:positionH relativeFrom="column">
            <wp:posOffset>-185420</wp:posOffset>
          </wp:positionH>
          <wp:positionV relativeFrom="paragraph">
            <wp:posOffset>-513715</wp:posOffset>
          </wp:positionV>
          <wp:extent cx="5793740" cy="61150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84" t="-800" r="-84" b="-800"/>
                  <a:stretch>
                    <a:fillRect/>
                  </a:stretch>
                </pic:blipFill>
                <pic:spPr bwMode="auto">
                  <a:xfrm>
                    <a:off x="0" y="0"/>
                    <a:ext cx="5793740" cy="6115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auto"/>
      <w:kern w:val="0"/>
      <w:sz w:val="22"/>
      <w:szCs w:val="22"/>
      <w:lang w:val="pt-BR" w:eastAsia="en-US" w:bidi="ar-SA"/>
    </w:rPr>
  </w:style>
  <w:style w:type="character" w:styleId="DefaultParagraphFont">
    <w:name w:val="Default Paragraph Font"/>
    <w:qFormat/>
    <w:rPr/>
  </w:style>
  <w:style w:type="character" w:styleId="Nivel4Char">
    <w:name w:val="Nivel 4 Char"/>
    <w:basedOn w:val="DefaultParagraphFont"/>
    <w:qFormat/>
    <w:rPr>
      <w:rFonts w:ascii="Ecofont_Spranq_eco_Sans" w:hAnsi="Ecofont_Spranq_eco_Sans" w:eastAsia="Arial Unicode MS" w:cs="Arial"/>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ListLabel1">
    <w:name w:val="ListLabel 1"/>
    <w:qFormat/>
    <w:rPr>
      <w:rFonts w:eastAsia="Verdana" w:cs="Arial"/>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Arial"/>
      <w:b/>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Arial"/>
      <w:b/>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Arial"/>
      <w:b/>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widowControl w:val="false"/>
      <w:suppressAutoHyphens w:val="true"/>
      <w:spacing w:lineRule="auto" w:line="240" w:before="0" w:after="0"/>
      <w:ind w:left="720" w:right="0" w:hanging="0"/>
      <w:contextualSpacing/>
    </w:pPr>
    <w:rPr>
      <w:rFonts w:ascii="Arial" w:hAnsi="Arial" w:eastAsia="Arial Unicode MS" w:cs="Times New Roman"/>
      <w:sz w:val="24"/>
      <w:szCs w:val="20"/>
      <w:lang w:eastAsia="pt-BR"/>
    </w:rPr>
  </w:style>
  <w:style w:type="paragraph" w:styleId="Nivel4">
    <w:name w:val="Nivel 4"/>
    <w:basedOn w:val="Normal"/>
    <w:qFormat/>
    <w:pPr>
      <w:spacing w:before="120" w:after="120"/>
      <w:jc w:val="both"/>
    </w:pPr>
    <w:rPr>
      <w:rFonts w:ascii="Ecofont_Spranq_eco_Sans" w:hAnsi="Ecofont_Spranq_eco_Sans" w:eastAsia="Arial Unicode MS" w:cs="Arial"/>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Rodap">
    <w:name w:val="Footer"/>
    <w:basedOn w:val="Normal"/>
    <w:pPr>
      <w:tabs>
        <w:tab w:val="clear" w:pos="708"/>
        <w:tab w:val="center" w:pos="4252" w:leader="none"/>
        <w:tab w:val="right" w:pos="8504" w:leader="none"/>
      </w:tabs>
      <w:spacing w:lineRule="auto" w:line="240" w:before="0" w:after="0"/>
    </w:pPr>
    <w:rPr/>
  </w:style>
  <w:style w:type="paragraph" w:styleId="Contedodoquadro">
    <w:name w:val="Conteúdo do quadro"/>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54</TotalTime>
  <Application>LibreOffice/6.1.1.2$Windows_X86_64 LibreOffice_project/5d19a1bfa650b796764388cd8b33a5af1f5baa1b</Application>
  <Pages>3</Pages>
  <Words>819</Words>
  <Characters>4597</Characters>
  <CharactersWithSpaces>5443</CharactersWithSpaces>
  <Paragraphs>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2020-05-05T02:20:00Z</dcterms:created>
  <dc:creator>User</dc:creator>
  <dc:description/>
  <dc:language>pt-BR</dc:language>
  <cp:lastModifiedBy/>
  <dcterms:modified xsi:type="dcterms:W3CDTF">2020-05-07T14:41:26Z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