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3"/>
        <w:numPr>
          <w:ilvl w:val="2"/>
          <w:numId w:val="2"/>
        </w:numPr>
        <w:tabs>
          <w:tab w:val="clear" w:pos="709"/>
          <w:tab w:val="left" w:pos="0" w:leader="none"/>
        </w:tabs>
        <w:spacing w:lineRule="auto" w:line="240"/>
        <w:ind w:left="0" w:hanging="0"/>
        <w:jc w:val="center"/>
        <w:rPr/>
      </w:pPr>
      <w:r>
        <w:rPr>
          <w:rStyle w:val="Nfaseforte"/>
          <w:rFonts w:eastAsia="Arial" w:cs="Times New Roman" w:ascii="Times New Roman" w:hAnsi="Times New Roman"/>
          <w:szCs w:val="24"/>
          <w:u w:val="single"/>
          <w:lang w:eastAsia="pt-BR"/>
        </w:rPr>
        <w:t>EDITAL 17/2020</w:t>
      </w:r>
    </w:p>
    <w:p>
      <w:pPr>
        <w:pStyle w:val="Ttulo3"/>
        <w:numPr>
          <w:ilvl w:val="2"/>
          <w:numId w:val="2"/>
        </w:numPr>
        <w:tabs>
          <w:tab w:val="clear" w:pos="709"/>
          <w:tab w:val="left" w:pos="0" w:leader="none"/>
        </w:tabs>
        <w:spacing w:lineRule="auto" w:line="240"/>
        <w:ind w:left="0" w:hanging="0"/>
        <w:jc w:val="both"/>
        <w:rPr/>
      </w:pPr>
      <w:r>
        <w:rPr/>
      </w:r>
    </w:p>
    <w:p>
      <w:pPr>
        <w:pStyle w:val="Ttulo3"/>
        <w:keepNext w:val="true"/>
        <w:numPr>
          <w:ilvl w:val="2"/>
          <w:numId w:val="2"/>
        </w:numPr>
        <w:tabs>
          <w:tab w:val="clear" w:pos="709"/>
          <w:tab w:val="left" w:pos="0" w:leader="none"/>
        </w:tabs>
        <w:suppressAutoHyphens w:val="true"/>
        <w:spacing w:lineRule="auto" w:line="240"/>
        <w:ind w:left="5102" w:right="0" w:hanging="0"/>
        <w:jc w:val="both"/>
        <w:outlineLvl w:val="2"/>
        <w:rPr>
          <w:rStyle w:val="Fontepargpadro"/>
          <w:rFonts w:ascii="Times New Roman" w:hAnsi="Times New Roman" w:cs="Times New Roman"/>
          <w:b/>
          <w:b/>
          <w:bCs/>
          <w:szCs w:val="24"/>
        </w:rPr>
      </w:pPr>
      <w:r>
        <w:rPr>
          <w:rFonts w:cs="Times New Roman" w:ascii="Times New Roman" w:hAnsi="Times New Roman"/>
          <w:b/>
          <w:bCs/>
          <w:szCs w:val="24"/>
        </w:rPr>
      </w:r>
    </w:p>
    <w:p>
      <w:pPr>
        <w:pStyle w:val="Ttulo3"/>
        <w:keepNext w:val="true"/>
        <w:numPr>
          <w:ilvl w:val="2"/>
          <w:numId w:val="2"/>
        </w:numPr>
        <w:tabs>
          <w:tab w:val="clear" w:pos="709"/>
          <w:tab w:val="left" w:pos="0" w:leader="none"/>
        </w:tabs>
        <w:suppressAutoHyphens w:val="true"/>
        <w:spacing w:lineRule="auto" w:line="240"/>
        <w:ind w:left="4819" w:right="0" w:hanging="0"/>
        <w:jc w:val="both"/>
        <w:outlineLvl w:val="2"/>
        <w:rPr/>
      </w:pPr>
      <w:bookmarkStart w:id="0" w:name="__DdeLink__42_1919705269"/>
      <w:r>
        <w:rPr>
          <w:rStyle w:val="Fontepargpadro"/>
          <w:rFonts w:cs="Times New Roman" w:ascii="Times New Roman" w:hAnsi="Times New Roman"/>
          <w:b/>
          <w:bCs/>
          <w:szCs w:val="24"/>
        </w:rPr>
        <w:t xml:space="preserve">Notifica os contribuintes acerca do lançamento do IPTU/TCLI do exercício 2020, referente aos empreendimentos: </w:t>
      </w:r>
      <w:r>
        <w:rPr>
          <w:rStyle w:val="Fontepargpadro"/>
          <w:rFonts w:cs="Times New Roman" w:ascii="Times New Roman" w:hAnsi="Times New Roman"/>
          <w:b/>
        </w:rPr>
        <w:t>Acqua Residence (DICs 208143 a 208282), Condomínio Estação Brasil (DICs 208324 a 208413) e Residencial Cartago (DICs 208534 a 208639).</w:t>
      </w:r>
      <w:bookmarkEnd w:id="0"/>
      <w:r>
        <w:rPr>
          <w:rStyle w:val="Fontepargpadro"/>
          <w:rFonts w:cs="Times New Roman" w:ascii="Times New Roman" w:hAnsi="Times New Roman"/>
          <w:b/>
        </w:rPr>
        <w:br/>
      </w:r>
    </w:p>
    <w:p>
      <w:pPr>
        <w:pStyle w:val="Recuodecorpodetexto3"/>
        <w:spacing w:lineRule="auto" w:line="240"/>
        <w:ind w:left="0" w:firstLine="907"/>
        <w:jc w:val="both"/>
        <w:rPr/>
      </w:pPr>
      <w:r>
        <w:rPr>
          <w:rStyle w:val="Fontepargpadro"/>
          <w:sz w:val="24"/>
          <w:szCs w:val="24"/>
        </w:rPr>
        <w:tab/>
        <w:t xml:space="preserve">De conformidade com as disposições do Capítulo I, do Título II, da seção IV e do Capítulo IV, do Título III, da seção IV, do Livro Primeiro do Código Tributário do Município, Lei Municipal nº 1.031/2003, de 24 de dezembro de 2003, em seus artigos 24 a 26 e 114 a 118, e do Decreto Municipal nº 9.047/2019, de 18 de dezembro 2019, ficam os contribuintes dos tributos municipais, em relação aos edifícios acima elencados, </w:t>
      </w:r>
      <w:r>
        <w:rPr>
          <w:rStyle w:val="Fontepargpadro"/>
          <w:b/>
          <w:bCs/>
          <w:sz w:val="24"/>
          <w:szCs w:val="24"/>
        </w:rPr>
        <w:t>NOTIFICADOS</w:t>
      </w:r>
      <w:r>
        <w:rPr>
          <w:rStyle w:val="Fontepargpadro"/>
          <w:sz w:val="24"/>
          <w:szCs w:val="24"/>
        </w:rPr>
        <w:t xml:space="preserve"> do lançamento do IPTU - Imposto Predial e Territorial Urbano e da TCLI - Taxa de Coleta de Lixo de Imóveis, relativos ao exercício fiscal de 2020, mediante o recolhimento nos prazos fixados: até </w:t>
      </w:r>
      <w:r>
        <w:rPr>
          <w:rStyle w:val="Fontepargpadro"/>
          <w:b/>
          <w:bCs/>
          <w:sz w:val="24"/>
          <w:szCs w:val="24"/>
        </w:rPr>
        <w:t>25/08/2020</w:t>
      </w:r>
      <w:r>
        <w:rPr>
          <w:rStyle w:val="Fontepargpadro"/>
          <w:sz w:val="24"/>
          <w:szCs w:val="24"/>
        </w:rPr>
        <w:t xml:space="preserve"> para pagamento em cota única, com desconto de 15% (quinze por cento) exclusivamente sobre o imposto, ou em até 10 (dez) parcelas, vencendo-se a primeira em </w:t>
      </w:r>
      <w:r>
        <w:rPr>
          <w:rStyle w:val="Fontepargpadro"/>
          <w:b/>
          <w:bCs/>
          <w:sz w:val="24"/>
          <w:szCs w:val="24"/>
        </w:rPr>
        <w:t>30/09/2020</w:t>
      </w:r>
      <w:r>
        <w:rPr>
          <w:rStyle w:val="Fontepargpadro"/>
          <w:sz w:val="24"/>
          <w:szCs w:val="24"/>
        </w:rPr>
        <w:t xml:space="preserve"> e as demais no último dia útil dos meses subsequentes, ficando assegurada a impugnação quanto aos respectivos valores lançados e aos demais elementos informativos e/ou dados cadastrais até </w:t>
      </w:r>
      <w:r>
        <w:rPr>
          <w:rStyle w:val="Fontepargpadro"/>
          <w:b/>
          <w:sz w:val="24"/>
          <w:szCs w:val="24"/>
        </w:rPr>
        <w:t>25</w:t>
      </w:r>
      <w:r>
        <w:rPr>
          <w:rStyle w:val="Fontepargpadro"/>
          <w:b/>
          <w:bCs/>
          <w:sz w:val="24"/>
          <w:szCs w:val="24"/>
        </w:rPr>
        <w:t>/08/2020.</w:t>
      </w:r>
    </w:p>
    <w:p>
      <w:pPr>
        <w:pStyle w:val="Normal"/>
        <w:spacing w:lineRule="auto" w:line="240"/>
        <w:ind w:firstLine="907"/>
        <w:jc w:val="both"/>
        <w:rPr/>
      </w:pPr>
      <w:r>
        <w:rPr/>
      </w:r>
    </w:p>
    <w:p>
      <w:pPr>
        <w:pStyle w:val="Normal"/>
        <w:spacing w:lineRule="auto" w:line="240"/>
        <w:ind w:firstLine="907"/>
        <w:jc w:val="both"/>
        <w:rPr/>
      </w:pPr>
      <w:r>
        <w:rPr/>
        <w:tab/>
        <w:t>As informações relativas à identificação dos contribuintes, o elenco dos tributos lançados e a sua respectiva responsabilidade, os números das matrículas no Cadastro Imobiliário Fiscal, os imóveis e seus correspondentes endereçamentos, bem como, os valores dos tributos devidos, expressos em real, podem ser obtidos junto à Secretaria Municipal da Fazenda, no Centro Administrativo Leopoldo Petry, na rua Guia Lopes, nº 4201, andar térreo, durante o expediente da repartição.</w:t>
      </w:r>
    </w:p>
    <w:p>
      <w:pPr>
        <w:pStyle w:val="Normal"/>
        <w:spacing w:lineRule="auto" w:line="240"/>
        <w:ind w:firstLine="907"/>
        <w:jc w:val="both"/>
        <w:rPr/>
      </w:pPr>
      <w:r>
        <w:rPr/>
      </w:r>
    </w:p>
    <w:p>
      <w:pPr>
        <w:pStyle w:val="Normal"/>
        <w:spacing w:lineRule="auto" w:line="240"/>
        <w:ind w:firstLine="907"/>
        <w:jc w:val="both"/>
        <w:rPr/>
      </w:pPr>
      <w:r>
        <w:rPr/>
        <w:tab/>
        <w:t xml:space="preserve">As guias para pagamento em cota única serão entregues aos contribuintes no endereço cadastral dos empreendimentos. Para pagamentos parcelados, o contribuinte deverá retirar as guias através do site da Prefeitura: </w:t>
      </w:r>
      <w:hyperlink r:id="rId2" w:tgtFrame="_top">
        <w:r>
          <w:rPr>
            <w:rStyle w:val="LinkdaInternet"/>
          </w:rPr>
          <w:t>www.novohamburgo.rs.gov.br/servicos/consulta-debitos-emissao-guias</w:t>
        </w:r>
      </w:hyperlink>
    </w:p>
    <w:p>
      <w:pPr>
        <w:pStyle w:val="Normal"/>
        <w:spacing w:lineRule="auto" w:line="240"/>
        <w:ind w:firstLine="907"/>
        <w:jc w:val="both"/>
        <w:rPr/>
      </w:pPr>
      <w:r>
        <w:rPr/>
        <w:tab/>
      </w:r>
    </w:p>
    <w:p>
      <w:pPr>
        <w:pStyle w:val="Normal"/>
        <w:spacing w:lineRule="auto" w:line="240"/>
        <w:ind w:firstLine="907"/>
        <w:jc w:val="both"/>
        <w:rPr/>
      </w:pPr>
      <w:r>
        <w:rPr/>
        <w:tab/>
        <w:t>SECRETARIA MUNICIPAL DA FAZENDA, aos 27 (vinte e sete) dias do mês de julho do ano de 2020.</w:t>
      </w:r>
    </w:p>
    <w:p>
      <w:pPr>
        <w:pStyle w:val="Normal"/>
        <w:spacing w:lineRule="auto" w:line="240"/>
        <w:ind w:firstLine="2431"/>
        <w:jc w:val="both"/>
        <w:rPr/>
      </w:pPr>
      <w:r>
        <w:rPr/>
      </w:r>
    </w:p>
    <w:p>
      <w:pPr>
        <w:pStyle w:val="Normal"/>
        <w:spacing w:lineRule="auto" w:line="240"/>
        <w:ind w:firstLine="2431"/>
        <w:jc w:val="both"/>
        <w:rPr/>
      </w:pPr>
      <w:r>
        <w:rPr/>
      </w:r>
    </w:p>
    <w:p>
      <w:pPr>
        <w:pStyle w:val="Normal"/>
        <w:spacing w:lineRule="auto" w:line="240"/>
        <w:ind w:hanging="57"/>
        <w:jc w:val="both"/>
        <w:rPr/>
      </w:pPr>
      <w:r>
        <w:rPr>
          <w:rStyle w:val="Nfaseforte"/>
          <w:rFonts w:eastAsia="Arial" w:cs="Arial" w:ascii="Arial" w:hAnsi="Arial"/>
          <w:b w:val="false"/>
          <w:bCs w:val="false"/>
          <w:lang w:eastAsia="pt-BR"/>
        </w:rPr>
        <w:t xml:space="preserve">         </w:t>
      </w:r>
      <w:r>
        <w:rPr>
          <w:rStyle w:val="Nfaseforte"/>
          <w:rFonts w:eastAsia="Arial" w:cs="Arial"/>
          <w:b w:val="false"/>
          <w:bCs w:val="false"/>
          <w:lang w:eastAsia="pt-BR"/>
        </w:rPr>
        <w:t xml:space="preserve"> </w:t>
      </w:r>
    </w:p>
    <w:p>
      <w:pPr>
        <w:pStyle w:val="Normal"/>
        <w:spacing w:lineRule="auto" w:line="240"/>
        <w:ind w:hanging="57"/>
        <w:jc w:val="both"/>
        <w:rPr>
          <w:rStyle w:val="Nfaseforte"/>
          <w:rFonts w:eastAsia="Arial" w:cs="Arial"/>
          <w:b w:val="false"/>
          <w:b w:val="false"/>
          <w:bCs w:val="false"/>
          <w:lang w:eastAsia="pt-BR"/>
        </w:rPr>
      </w:pPr>
      <w:r>
        <w:rPr>
          <w:rFonts w:eastAsia="Arial" w:cs="Arial"/>
          <w:b w:val="false"/>
          <w:bCs w:val="false"/>
          <w:lang w:eastAsia="pt-BR"/>
        </w:rPr>
      </w:r>
    </w:p>
    <w:p>
      <w:pPr>
        <w:pStyle w:val="Normal"/>
        <w:spacing w:lineRule="auto" w:line="240"/>
        <w:ind w:hanging="57"/>
        <w:jc w:val="both"/>
        <w:rPr/>
      </w:pPr>
      <w:r>
        <w:rPr>
          <w:rStyle w:val="Nfaseforte"/>
          <w:rFonts w:eastAsia="Arial" w:cs="Arial"/>
          <w:b w:val="false"/>
          <w:bCs w:val="false"/>
          <w:lang w:eastAsia="pt-BR"/>
        </w:rPr>
        <w:tab/>
        <w:tab/>
        <w:t>GILBERTO DOS REIS                                          MATEUS NUNES DA SILVA</w:t>
      </w:r>
    </w:p>
    <w:p>
      <w:pPr>
        <w:pStyle w:val="Normal"/>
        <w:spacing w:lineRule="auto" w:line="240"/>
        <w:jc w:val="both"/>
        <w:rPr/>
      </w:pPr>
      <w:r>
        <w:rPr/>
        <w:t xml:space="preserve">   </w:t>
      </w:r>
      <w:r>
        <w:rPr/>
        <w:t xml:space="preserve">Secretário Municipal da Fazenda                             Auditor Fiscal de Tributos Municipais    </w:t>
        <w:tab/>
      </w:r>
    </w:p>
    <w:sectPr>
      <w:headerReference w:type="default" r:id="rId3"/>
      <w:footerReference w:type="default" r:id="rId4"/>
      <w:type w:val="nextPage"/>
      <w:pgSz w:w="11906" w:h="16838"/>
      <w:pgMar w:left="1701" w:right="1190" w:header="794" w:top="1276" w:footer="389" w:bottom="129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Style w:val="Fontepargpadro"/>
        <w:lang w:eastAsia="pt-BR"/>
      </w:rPr>
    </w:pPr>
    <w:r>
      <w:rPr>
        <w:lang w:eastAsia="pt-BR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-102235</wp:posOffset>
          </wp:positionH>
          <wp:positionV relativeFrom="paragraph">
            <wp:posOffset>180340</wp:posOffset>
          </wp:positionV>
          <wp:extent cx="5937885" cy="43434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357" r="-26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right="-567" w:firstLine="1191"/>
      <w:rPr>
        <w:rStyle w:val="Fontepargpadro"/>
        <w:rFonts w:ascii="Arial" w:hAnsi="Arial" w:cs="Arial"/>
        <w:b/>
        <w:b/>
        <w:bCs/>
        <w:sz w:val="18"/>
        <w:szCs w:val="18"/>
        <w:lang w:eastAsia="pt-BR"/>
      </w:rPr>
    </w:pPr>
    <w:r>
      <w:rPr>
        <w:rFonts w:cs="Arial" w:ascii="Arial" w:hAnsi="Arial"/>
        <w:b/>
        <w:bCs/>
        <w:sz w:val="18"/>
        <w:szCs w:val="18"/>
        <w:lang w:eastAsia="pt-BR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-114300</wp:posOffset>
          </wp:positionH>
          <wp:positionV relativeFrom="paragraph">
            <wp:posOffset>-390525</wp:posOffset>
          </wp:positionV>
          <wp:extent cx="5937250" cy="62166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50" r="-26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firstLine="1197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 w:cs="Arial"/>
      <w:b/>
      <w:szCs w:val="20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rFonts w:ascii="Tahoma" w:hAnsi="Tahoma" w:cs="Tahoma"/>
      <w:szCs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9"/>
      </w:tabs>
      <w:suppressAutoHyphens w:val="true"/>
      <w:spacing w:lineRule="auto" w:line="360" w:before="120" w:after="120"/>
      <w:ind w:left="2160" w:hanging="0"/>
      <w:jc w:val="both"/>
      <w:outlineLvl w:val="3"/>
    </w:pPr>
    <w:rPr>
      <w:rFonts w:ascii="Arial" w:hAnsi="Arial" w:cs="Aria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false"/>
      <w:ind w:firstLine="708"/>
      <w:jc w:val="both"/>
      <w:outlineLvl w:val="8"/>
    </w:pPr>
    <w:rPr>
      <w:rFonts w:ascii="Arial" w:hAnsi="Arial" w:cs="Arial"/>
      <w:sz w:val="40"/>
    </w:rPr>
  </w:style>
  <w:style w:type="character" w:styleId="Fontepargpadro">
    <w:name w:val="Fonte parág. padr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faseforte">
    <w:name w:val="Ênfase forte"/>
    <w:basedOn w:val="Fontepargpadro1"/>
    <w:qFormat/>
    <w:rPr>
      <w:b/>
      <w:bCs/>
    </w:rPr>
  </w:style>
  <w:style w:type="character" w:styleId="Linkdainternetvisitado">
    <w:name w:val="Link da internet visitado"/>
    <w:basedOn w:val="Fontepargpadro1"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coradanotaderodap">
    <w:name w:val="Âncora da nota de rodapé"/>
    <w:rPr>
      <w:sz w:val="16"/>
    </w:rPr>
  </w:style>
  <w:style w:type="character" w:styleId="Caracteresdenotaderodap">
    <w:name w:val="Caracteres de nota de rodapé"/>
    <w:qFormat/>
    <w:rPr/>
  </w:style>
  <w:style w:type="character" w:styleId="SubttuloChar">
    <w:name w:val="Subtítulo Char"/>
    <w:basedOn w:val="Fontepargpadro"/>
    <w:qFormat/>
    <w:rPr>
      <w:b/>
    </w:rPr>
  </w:style>
  <w:style w:type="character" w:styleId="TtuloChar">
    <w:name w:val="Título Char"/>
    <w:basedOn w:val="Fontepargpadro"/>
    <w:qFormat/>
    <w:rPr>
      <w:sz w:val="24"/>
    </w:rPr>
  </w:style>
  <w:style w:type="character" w:styleId="CabealhoChar">
    <w:name w:val="Cabeçalho Char"/>
    <w:basedOn w:val="Fontepargpadro"/>
    <w:qFormat/>
    <w:rPr>
      <w:rFonts w:ascii="Calibri" w:hAnsi="Calibri" w:eastAsia="Calibri" w:cs="Calibri"/>
      <w:sz w:val="22"/>
      <w:szCs w:val="22"/>
      <w:lang w:eastAsia="zh-CN"/>
    </w:rPr>
  </w:style>
  <w:style w:type="character" w:styleId="RodapChar">
    <w:name w:val="Rodapé Char"/>
    <w:basedOn w:val="Fontepargpadro"/>
    <w:qFormat/>
    <w:rPr>
      <w:rFonts w:ascii="Calibri" w:hAnsi="Calibri" w:eastAsia="Calibri" w:cs="Calibri"/>
      <w:sz w:val="22"/>
      <w:szCs w:val="22"/>
      <w:lang w:eastAsia="zh-CN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cs="Times New Roman"/>
      <w:b/>
      <w:sz w:val="2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  <w:sz w:val="16"/>
      <w:szCs w:val="16"/>
    </w:rPr>
  </w:style>
  <w:style w:type="character" w:styleId="WW8Num17z0">
    <w:name w:val="WW8Num17z0"/>
    <w:qFormat/>
    <w:rPr>
      <w:b/>
    </w:rPr>
  </w:style>
  <w:style w:type="character" w:styleId="WW8Num18z0">
    <w:name w:val="WW8Num18z0"/>
    <w:qFormat/>
    <w:rPr>
      <w:rFonts w:ascii="Symbol" w:hAnsi="Symbol" w:cs="Symbol"/>
      <w:sz w:val="18"/>
      <w:szCs w:val="18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b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3z0">
    <w:name w:val="WW8Num23z0"/>
    <w:qFormat/>
    <w:rPr>
      <w:b/>
    </w:rPr>
  </w:style>
  <w:style w:type="character" w:styleId="WW8Num28z0">
    <w:name w:val="WW8Num28z0"/>
    <w:qFormat/>
    <w:rPr>
      <w:rFonts w:cs="Times New Roman"/>
      <w:b/>
    </w:rPr>
  </w:style>
  <w:style w:type="character" w:styleId="WW8Num31z0">
    <w:name w:val="WW8Num31z0"/>
    <w:qFormat/>
    <w:rPr>
      <w:rFonts w:ascii="Symbol" w:hAnsi="Symbol" w:cs="Symbol"/>
      <w:sz w:val="18"/>
      <w:szCs w:val="18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Fontepargpadro">
    <w:name w:val="WW-Fonte parág. padrão"/>
    <w:qFormat/>
    <w:rPr/>
  </w:style>
  <w:style w:type="character" w:styleId="WWAbsatzStandardschriftart12">
    <w:name w:val="WW-Absatz-Standardschriftart12"/>
    <w:qFormat/>
    <w:rPr/>
  </w:style>
  <w:style w:type="character" w:styleId="CorpodetextoChar">
    <w:name w:val="Corpo de texto Char"/>
    <w:basedOn w:val="Fontepargpadro"/>
    <w:qFormat/>
    <w:rPr>
      <w:sz w:val="24"/>
      <w:szCs w:val="24"/>
    </w:rPr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Ttulo5Char">
    <w:name w:val="Título 5 Char"/>
    <w:basedOn w:val="Fontepargpadro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tulo1Char">
    <w:name w:val="Título 1 Char"/>
    <w:basedOn w:val="Fontepargpadro"/>
    <w:qFormat/>
    <w:rPr>
      <w:rFonts w:ascii="Arial" w:hAnsi="Arial" w:cs="Arial"/>
      <w:b/>
      <w:sz w:val="24"/>
    </w:rPr>
  </w:style>
  <w:style w:type="character" w:styleId="Ttulo2Char">
    <w:name w:val="Título 2 Char"/>
    <w:basedOn w:val="Fontepargpadro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RecuodecorpodetextoChar">
    <w:name w:val="Recuo de corpo de texto Char"/>
    <w:basedOn w:val="Fontepargpadro"/>
    <w:qFormat/>
    <w:rPr>
      <w:sz w:val="24"/>
      <w:szCs w:val="24"/>
    </w:rPr>
  </w:style>
  <w:style w:type="character" w:styleId="Fontepargpadro3">
    <w:name w:val="Fonte parág. padrão3"/>
    <w:qFormat/>
    <w:rPr/>
  </w:style>
  <w:style w:type="character" w:styleId="Ttulo3Char">
    <w:name w:val="Título 3 Char"/>
    <w:basedOn w:val="Fontepargpadro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Recuodecorpodetexto3Char">
    <w:name w:val="Recuo de corpo de texto 3 Char"/>
    <w:basedOn w:val="Fontepargpadro"/>
    <w:qFormat/>
    <w:rPr>
      <w:sz w:val="16"/>
      <w:szCs w:val="16"/>
    </w:rPr>
  </w:style>
  <w:style w:type="character" w:styleId="Ttulo4Char">
    <w:name w:val="Título 4 Char"/>
    <w:basedOn w:val="Fontepargpadro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Font20">
    <w:name w:val="font20"/>
    <w:basedOn w:val="Fontepargpadro"/>
    <w:qFormat/>
    <w:rPr/>
  </w:style>
  <w:style w:type="character" w:styleId="Azul">
    <w:name w:val="azul"/>
    <w:basedOn w:val="Fontepargpadro"/>
    <w:qFormat/>
    <w:rPr/>
  </w:style>
  <w:style w:type="character" w:styleId="WWCharLFO2LVL1">
    <w:name w:val="WW_CharLFO2LVL1"/>
    <w:qFormat/>
    <w:rPr>
      <w:rFonts w:ascii="Symbol" w:hAnsi="Symbol" w:cs="Symbol"/>
    </w:rPr>
  </w:style>
  <w:style w:type="character" w:styleId="WWCharLFO3LVL1">
    <w:name w:val="WW_CharLFO3LVL1"/>
    <w:qFormat/>
    <w:rPr>
      <w:rFonts w:ascii="Symbol" w:hAnsi="Symbol" w:cs="OpenSymbol;Arial Unicode MS"/>
    </w:rPr>
  </w:style>
  <w:style w:type="character" w:styleId="WWCharLFO3LVL2">
    <w:name w:val="WW_CharLFO3LVL2"/>
    <w:qFormat/>
    <w:rPr>
      <w:rFonts w:ascii="OpenSymbol;Arial Unicode MS" w:hAnsi="OpenSymbol;Arial Unicode MS" w:cs="OpenSymbol;Arial Unicode MS"/>
    </w:rPr>
  </w:style>
  <w:style w:type="character" w:styleId="WWCharLFO3LVL3">
    <w:name w:val="WW_CharLFO3LVL3"/>
    <w:qFormat/>
    <w:rPr>
      <w:rFonts w:ascii="OpenSymbol;Arial Unicode MS" w:hAnsi="OpenSymbol;Arial Unicode MS" w:cs="OpenSymbol;Arial Unicode MS"/>
    </w:rPr>
  </w:style>
  <w:style w:type="character" w:styleId="WWCharLFO3LVL4">
    <w:name w:val="WW_CharLFO3LVL4"/>
    <w:qFormat/>
    <w:rPr>
      <w:rFonts w:ascii="Symbol" w:hAnsi="Symbol" w:cs="OpenSymbol;Arial Unicode MS"/>
    </w:rPr>
  </w:style>
  <w:style w:type="character" w:styleId="WWCharLFO3LVL5">
    <w:name w:val="WW_CharLFO3LVL5"/>
    <w:qFormat/>
    <w:rPr>
      <w:rFonts w:ascii="OpenSymbol;Arial Unicode MS" w:hAnsi="OpenSymbol;Arial Unicode MS" w:cs="OpenSymbol;Arial Unicode MS"/>
    </w:rPr>
  </w:style>
  <w:style w:type="character" w:styleId="WWCharLFO3LVL6">
    <w:name w:val="WW_CharLFO3LVL6"/>
    <w:qFormat/>
    <w:rPr>
      <w:rFonts w:ascii="OpenSymbol;Arial Unicode MS" w:hAnsi="OpenSymbol;Arial Unicode MS" w:cs="OpenSymbol;Arial Unicode MS"/>
    </w:rPr>
  </w:style>
  <w:style w:type="character" w:styleId="WWCharLFO3LVL7">
    <w:name w:val="WW_CharLFO3LVL7"/>
    <w:qFormat/>
    <w:rPr>
      <w:rFonts w:ascii="Symbol" w:hAnsi="Symbol" w:cs="OpenSymbol;Arial Unicode MS"/>
    </w:rPr>
  </w:style>
  <w:style w:type="character" w:styleId="WWCharLFO3LVL8">
    <w:name w:val="WW_CharLFO3LVL8"/>
    <w:qFormat/>
    <w:rPr>
      <w:rFonts w:ascii="OpenSymbol;Arial Unicode MS" w:hAnsi="OpenSymbol;Arial Unicode MS" w:cs="OpenSymbol;Arial Unicode MS"/>
    </w:rPr>
  </w:style>
  <w:style w:type="character" w:styleId="WWCharLFO3LVL9">
    <w:name w:val="WW_CharLFO3LVL9"/>
    <w:qFormat/>
    <w:rPr>
      <w:rFonts w:ascii="OpenSymbol;Arial Unicode MS" w:hAnsi="OpenSymbol;Arial Unicode MS" w:cs="OpenSymbol;Arial Unicode MS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Tahoma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Tahoma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21">
    <w:name w:val="Título2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Ttulo11">
    <w:name w:val="Título1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  <w:suppressAutoHyphens w:val="true"/>
    </w:pPr>
    <w:rPr/>
  </w:style>
  <w:style w:type="paragraph" w:styleId="Corpodetexto21">
    <w:name w:val="Corpo de texto 21"/>
    <w:basedOn w:val="Normal"/>
    <w:qFormat/>
    <w:pPr>
      <w:suppressAutoHyphens w:val="true"/>
    </w:pPr>
    <w:rPr>
      <w:rFonts w:ascii="Tahoma" w:hAnsi="Tahoma" w:cs="Tahoma"/>
      <w:szCs w:val="20"/>
    </w:rPr>
  </w:style>
  <w:style w:type="paragraph" w:styleId="NormalWeb">
    <w:name w:val="Normal (Web)"/>
    <w:basedOn w:val="Normal"/>
    <w:qFormat/>
    <w:pPr>
      <w:suppressAutoHyphens w:val="true"/>
      <w:spacing w:before="100" w:after="100"/>
    </w:pPr>
    <w:rPr/>
  </w:style>
  <w:style w:type="paragraph" w:styleId="Western">
    <w:name w:val="western"/>
    <w:basedOn w:val="Normal"/>
    <w:qFormat/>
    <w:pPr>
      <w:suppressAutoHyphens w:val="true"/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09"/>
        <w:tab w:val="center" w:pos="-17665" w:leader="none"/>
        <w:tab w:val="right" w:pos="-13246" w:leader="none"/>
      </w:tabs>
      <w:suppressAutoHyphens w:val="true"/>
      <w:ind w:left="2268" w:hanging="0"/>
      <w:jc w:val="both"/>
    </w:pPr>
    <w:rPr>
      <w:rFonts w:ascii="Arial" w:hAnsi="Arial" w:cs="Arial"/>
      <w:sz w:val="20"/>
    </w:rPr>
  </w:style>
  <w:style w:type="paragraph" w:styleId="Contedodequadro">
    <w:name w:val="Conteúdo de quadro"/>
    <w:basedOn w:val="Corpodotexto"/>
    <w:qFormat/>
    <w:pPr>
      <w:suppressAutoHyphens w:val="true"/>
    </w:pPr>
    <w:rPr/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Notaderodap">
    <w:name w:val="Footnote Text"/>
    <w:basedOn w:val="Normal"/>
    <w:pPr>
      <w:suppressLineNumbers/>
      <w:tabs>
        <w:tab w:val="clear" w:pos="709"/>
      </w:tabs>
      <w:suppressAutoHyphens w:val="true"/>
      <w:ind w:left="339" w:hanging="339"/>
    </w:pPr>
    <w:rPr>
      <w:sz w:val="20"/>
      <w:szCs w:val="20"/>
    </w:rPr>
  </w:style>
  <w:style w:type="paragraph" w:styleId="Citaes">
    <w:name w:val="Citações"/>
    <w:basedOn w:val="Normal"/>
    <w:qFormat/>
    <w:pPr>
      <w:tabs>
        <w:tab w:val="clear" w:pos="709"/>
      </w:tabs>
      <w:suppressAutoHyphens w:val="true"/>
      <w:spacing w:before="0" w:after="283"/>
      <w:ind w:left="567" w:right="567" w:hanging="0"/>
    </w:pPr>
    <w:rPr/>
  </w:style>
  <w:style w:type="paragraph" w:styleId="Contedodamoldura">
    <w:name w:val="Conteúdo da moldura"/>
    <w:basedOn w:val="Corpodotexto"/>
    <w:qFormat/>
    <w:pPr>
      <w:suppressAutoHyphens w:val="true"/>
    </w:pPr>
    <w:rPr/>
  </w:style>
  <w:style w:type="paragraph" w:styleId="Primeirorecuodecorpodetexto">
    <w:name w:val="Primeiro recuo de corpo de texto"/>
    <w:basedOn w:val="Corpodotexto"/>
    <w:qFormat/>
    <w:pPr>
      <w:suppressAutoHyphens w:val="true"/>
      <w:ind w:firstLine="283"/>
    </w:pPr>
    <w:rPr/>
  </w:style>
  <w:style w:type="paragraph" w:styleId="Corpodetexto3">
    <w:name w:val="Corpo de texto 3"/>
    <w:basedOn w:val="Normal"/>
    <w:qFormat/>
    <w:pPr>
      <w:suppressAutoHyphens w:val="false"/>
      <w:jc w:val="both"/>
    </w:pPr>
    <w:rPr>
      <w:rFonts w:ascii="Verdana" w:hAnsi="Verdana" w:cs="Verdana"/>
    </w:rPr>
  </w:style>
  <w:style w:type="paragraph" w:styleId="Primeirorecuodecorpodetexto1">
    <w:name w:val="Primeiro recuo de corpo de texto1"/>
    <w:basedOn w:val="Corpodotexto"/>
    <w:qFormat/>
    <w:pPr>
      <w:suppressAutoHyphens w:val="true"/>
      <w:ind w:firstLine="283"/>
    </w:pPr>
    <w:rPr/>
  </w:style>
  <w:style w:type="paragraph" w:styleId="WWCorpodetexto2">
    <w:name w:val="WW-Corpo de texto 2"/>
    <w:basedOn w:val="Normal"/>
    <w:qFormat/>
    <w:pPr>
      <w:suppressAutoHyphens w:val="true"/>
      <w:jc w:val="both"/>
    </w:pPr>
    <w:rPr>
      <w:rFonts w:ascii="Arial" w:hAnsi="Arial" w:cs="Arial"/>
      <w:sz w:val="28"/>
    </w:rPr>
  </w:style>
  <w:style w:type="paragraph" w:styleId="WWRecuodecorpodetexto2">
    <w:name w:val="WW-Recuo de corpo de texto 2"/>
    <w:basedOn w:val="Normal"/>
    <w:qFormat/>
    <w:pPr>
      <w:tabs>
        <w:tab w:val="clear" w:pos="709"/>
      </w:tabs>
      <w:suppressAutoHyphens w:val="true"/>
      <w:ind w:left="5529" w:firstLine="1"/>
      <w:jc w:val="both"/>
    </w:pPr>
    <w:rPr>
      <w:rFonts w:ascii="Arial" w:hAnsi="Arial" w:cs="Arial"/>
      <w:b/>
      <w:sz w:val="28"/>
    </w:rPr>
  </w:style>
  <w:style w:type="paragraph" w:styleId="WWCorpodetexto3">
    <w:name w:val="WW-Corpo de texto 3"/>
    <w:basedOn w:val="Normal"/>
    <w:qFormat/>
    <w:pPr>
      <w:suppressAutoHyphens w:val="false"/>
      <w:jc w:val="both"/>
    </w:pPr>
    <w:rPr>
      <w:rFonts w:ascii="Arial" w:hAnsi="Arial" w:cs="Arial"/>
      <w:sz w:val="28"/>
    </w:rPr>
  </w:style>
  <w:style w:type="paragraph" w:styleId="Ttulo10">
    <w:name w:val="Título 10"/>
    <w:basedOn w:val="Ttulo"/>
    <w:next w:val="Corpodotexto"/>
    <w:qFormat/>
    <w:pPr>
      <w:suppressAutoHyphens w:val="true"/>
    </w:pPr>
    <w:rPr>
      <w:b/>
      <w:bCs/>
      <w:sz w:val="21"/>
      <w:szCs w:val="21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  <w:i/>
      <w:iCs/>
    </w:rPr>
  </w:style>
  <w:style w:type="paragraph" w:styleId="Ttulodatabela">
    <w:name w:val="Título da tabela"/>
    <w:basedOn w:val="Contedodatabela"/>
    <w:qFormat/>
    <w:pPr>
      <w:suppressAutoHyphens w:val="true"/>
      <w:jc w:val="center"/>
    </w:pPr>
    <w:rPr>
      <w:b/>
      <w:bCs/>
      <w:i/>
      <w:iCs/>
    </w:rPr>
  </w:style>
  <w:style w:type="paragraph" w:styleId="WWCorpodetexto21">
    <w:name w:val="WW-Corpo de texto 21"/>
    <w:basedOn w:val="Normal"/>
    <w:qFormat/>
    <w:pPr>
      <w:suppressAutoHyphens w:val="true"/>
      <w:jc w:val="both"/>
    </w:pPr>
    <w:rPr>
      <w:rFonts w:ascii="Verdana" w:hAnsi="Verdana" w:cs="Verdana"/>
    </w:rPr>
  </w:style>
  <w:style w:type="paragraph" w:styleId="TxBrp5">
    <w:name w:val="TxBr_p5"/>
    <w:basedOn w:val="Normal"/>
    <w:qFormat/>
    <w:pPr>
      <w:widowControl w:val="false"/>
      <w:tabs>
        <w:tab w:val="clear" w:pos="709"/>
        <w:tab w:val="left" w:pos="515" w:leader="none"/>
      </w:tabs>
      <w:suppressAutoHyphens w:val="false"/>
      <w:spacing w:lineRule="atLeast" w:line="240"/>
      <w:ind w:left="181" w:hanging="515"/>
      <w:jc w:val="both"/>
    </w:pPr>
    <w:rPr>
      <w:rFonts w:ascii="Arial" w:hAnsi="Arial" w:cs="Arial"/>
      <w:lang w:val="en-US"/>
    </w:rPr>
  </w:style>
  <w:style w:type="paragraph" w:styleId="TxBrc4">
    <w:name w:val="TxBr_c4"/>
    <w:basedOn w:val="Normal"/>
    <w:qFormat/>
    <w:pPr>
      <w:widowControl w:val="false"/>
      <w:suppressAutoHyphens w:val="false"/>
      <w:spacing w:lineRule="atLeast" w:line="240"/>
      <w:jc w:val="center"/>
    </w:pPr>
    <w:rPr>
      <w:rFonts w:ascii="Arial" w:hAnsi="Arial" w:cs="Arial"/>
      <w:lang w:val="en-US"/>
    </w:rPr>
  </w:style>
  <w:style w:type="paragraph" w:styleId="Corpodetexto2">
    <w:name w:val="Corpo de texto 2"/>
    <w:basedOn w:val="Normal"/>
    <w:qFormat/>
    <w:pPr>
      <w:suppressAutoHyphens w:val="true"/>
      <w:spacing w:lineRule="auto" w:line="480" w:before="0" w:after="120"/>
    </w:pPr>
    <w:rPr/>
  </w:style>
  <w:style w:type="paragraph" w:styleId="Notadefim">
    <w:name w:val="Endnote Text"/>
    <w:basedOn w:val="Normal"/>
    <w:pPr>
      <w:suppressAutoHyphens w:val="false"/>
    </w:pPr>
    <w:rPr/>
  </w:style>
  <w:style w:type="paragraph" w:styleId="Recuodecorpodetexto3">
    <w:name w:val="Recuo de corpo de texto 3"/>
    <w:basedOn w:val="Normal"/>
    <w:qFormat/>
    <w:pPr>
      <w:tabs>
        <w:tab w:val="clear" w:pos="709"/>
      </w:tabs>
      <w:suppressAutoHyphens w:val="true"/>
      <w:spacing w:before="0" w:after="120"/>
      <w:ind w:left="283" w:hanging="0"/>
    </w:pPr>
    <w:rPr>
      <w:sz w:val="16"/>
      <w:szCs w:val="16"/>
    </w:rPr>
  </w:style>
  <w:style w:type="paragraph" w:styleId="Recuodecorpodetexto2">
    <w:name w:val="Recuo de corpo de texto 2"/>
    <w:basedOn w:val="Normal"/>
    <w:qFormat/>
    <w:pPr>
      <w:suppressAutoHyphens w:val="true"/>
      <w:spacing w:lineRule="auto" w:line="360"/>
      <w:ind w:firstLine="1418"/>
      <w:jc w:val="both"/>
    </w:pPr>
    <w:rPr>
      <w:rFonts w:ascii="Arial" w:hAnsi="Arial" w:cs="Arial"/>
    </w:rPr>
  </w:style>
  <w:style w:type="paragraph" w:styleId="DecretoTexto">
    <w:name w:val="Decreto - Texto"/>
    <w:basedOn w:val="Corpodotexto"/>
    <w:qFormat/>
    <w:pPr>
      <w:suppressAutoHyphens w:val="true"/>
      <w:ind w:firstLine="851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Corpodotexto"/>
    <w:qFormat/>
    <w:pPr>
      <w:suppressAutoHyphens w:val="false"/>
    </w:pPr>
    <w:rPr>
      <w:b/>
      <w:sz w:val="20"/>
      <w:szCs w:val="20"/>
    </w:rPr>
  </w:style>
  <w:style w:type="paragraph" w:styleId="Textodebalo">
    <w:name w:val="Texto de balão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Textoembloco1">
    <w:name w:val="Texto em bloco1"/>
    <w:basedOn w:val="Normal"/>
    <w:qFormat/>
    <w:pPr>
      <w:tabs>
        <w:tab w:val="clear" w:pos="709"/>
        <w:tab w:val="left" w:pos="-29805" w:leader="none"/>
        <w:tab w:val="left" w:pos="28360" w:leader="none"/>
        <w:tab w:val="left" w:pos="29919" w:leader="none"/>
        <w:tab w:val="left" w:pos="30262" w:leader="none"/>
      </w:tabs>
      <w:suppressAutoHyphens w:val="true"/>
      <w:spacing w:lineRule="exact" w:line="360"/>
      <w:ind w:left="1418" w:right="1727" w:hanging="1418"/>
      <w:jc w:val="both"/>
    </w:pPr>
    <w:rPr>
      <w:rFonts w:ascii="Arial" w:hAnsi="Arial" w:cs="Arial"/>
      <w:szCs w:val="20"/>
    </w:rPr>
  </w:style>
  <w:style w:type="paragraph" w:styleId="Corpodotextorecuado">
    <w:name w:val="Body Text Indent"/>
    <w:basedOn w:val="Normal"/>
    <w:pPr>
      <w:tabs>
        <w:tab w:val="clear" w:pos="709"/>
      </w:tabs>
      <w:suppressAutoHyphens w:val="true"/>
      <w:spacing w:before="0" w:after="120"/>
      <w:ind w:left="283" w:hanging="0"/>
    </w:pPr>
    <w:rPr/>
  </w:style>
  <w:style w:type="paragraph" w:styleId="Legenda3">
    <w:name w:val="Legenda3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Ttulo31">
    <w:name w:val="Título3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rtaria">
    <w:name w:val="portaria"/>
    <w:basedOn w:val="Normal"/>
    <w:qFormat/>
    <w:pPr>
      <w:tabs>
        <w:tab w:val="clear" w:pos="709"/>
        <w:tab w:val="left" w:pos="2977" w:leader="none"/>
      </w:tabs>
      <w:suppressAutoHyphens w:val="true"/>
      <w:spacing w:lineRule="exact" w:line="340"/>
    </w:pPr>
    <w:rPr/>
  </w:style>
  <w:style w:type="paragraph" w:styleId="Recuodecorpodetexto31">
    <w:name w:val="Recuo de corpo de texto 31"/>
    <w:basedOn w:val="Normal"/>
    <w:qFormat/>
    <w:pPr>
      <w:suppressAutoHyphens w:val="true"/>
      <w:ind w:firstLine="2431"/>
      <w:jc w:val="both"/>
    </w:pPr>
    <w:rPr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ovohamburgo.rs.gov.br/servicos/consulta-debitos-emissao-guia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LibreOffice/6.1.1.2$Windows_X86_64 LibreOffice_project/5d19a1bfa650b796764388cd8b33a5af1f5baa1b</Application>
  <Pages>1</Pages>
  <Words>336</Words>
  <Characters>1888</Characters>
  <CharactersWithSpaces>2311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2020-07-27T18:07:00Z</dcterms:created>
  <dc:creator>estacao683</dc:creator>
  <dc:description/>
  <dc:language>pt-BR</dc:language>
  <cp:lastModifiedBy/>
  <cp:lastPrinted>2020-07-27T16:05:45Z</cp:lastPrinted>
  <dcterms:modified xsi:type="dcterms:W3CDTF">2020-07-27T16:25:32Z</dcterms:modified>
  <cp:revision>5</cp:revision>
  <dc:subject/>
  <dc:title/>
</cp:coreProperties>
</file>